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before="2381" w:after="288" w:line="384"/>
        <w:jc w:val="center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同行方案 · 教育行业实习反馈</w:t>
      </w:r>
    </w:p>
    <w:p w14:paraId="2A7B78D6">
      <w:pPr>
        <w:spacing w:before="0" w:after="288" w:line="348"/>
        <w:jc w:val="center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0"/>
        </w:rPr>
        <w:t>实习反馈里的能力缺口：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0"/>
        </w:rPr>
        <w:t>同行方案与 GitHub 开源案例参考</w:t>
      </w:r>
    </w:p>
    <w:p w14:paraId="7FB64392">
      <w:pPr>
        <w:spacing w:before="0" w:after="768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知行职业学院 · 机电专业 5 家企业最小试点</w:t>
      </w:r>
    </w:p>
    <w:p w14:paraId="46C935A1">
      <w:pPr>
        <w:spacing w:before="0" w:after="72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18"/>
        </w:rPr>
        <w:t>编制依据：知行职业学院 · 业务需求发现报告（覆盖率 97%）</w:t>
      </w:r>
    </w:p>
    <w:p w14:paraId="7633BFC8">
      <w:pPr>
        <w:spacing w:before="0" w:after="72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18"/>
        </w:rPr>
        <w:t>适用范围：机电专业、5 家企业、30 条历史反馈回放</w:t>
      </w:r>
    </w:p>
    <w:p w14:paraId="5400350F">
      <w:pPr>
        <w:spacing w:before="0" w:after="72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18"/>
        </w:rPr>
        <w:t>案例核实：GitHub REST API 逐条核对，2026-10-23</w:t>
      </w:r>
    </w:p>
    <w:p w14:paraId="6D593A62">
      <w:pPr>
        <w:spacing w:before="0" w:after="72" w:line="384"/>
        <w:jc w:val="center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18"/>
        </w:rPr>
        <w:t>编制日期：2026 年 10 月 23 日</w:t>
      </w:r>
    </w:p>
    <w:p w14:paraId="52DADA74">
      <w:pPr>
        <w:spacing w:before="864" w:after="180" w:line="3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18"/>
        </w:rPr>
        <w:t>本报告基于合成场景访谈；需求为待验证假设，结论不外推至未采集范围</w:t>
      </w:r>
    </w:p>
    <w:p w14:paraId="2C72D9AB">
      <w:pPr>
        <w:spacing w:before="240" w:after="120"/>
      </w:pPr>
      <w:r>
        <w:rPr>
          <w:rFonts w:hint="eastAsia"/>
          <w:b w:val="1"/>
        </w:rPr>
        <w:t>目录</w:t>
      </w:r>
    </w:p>
    <w:p w14:paraId="535C8AE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执行摘要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5ABE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一、需求事实基线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59023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二、GitHub 同行案例地图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C907A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（一）实习管理类系统：解决台账，不解决能力缺口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4F269D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（二）最接近的 AI 实现：trinethra 的四个设计决策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1213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（三）方法论类：AutoSCORE 与 LaTA 回答“评分怎么做得可信”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A7CD0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（四）基础设施类：可用性最高的一层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5BEF47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三、同行方案对比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89776B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（一）三条可选路线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3C5C1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（二）与三个具体同行的逐项对照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6C412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四、推荐架构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7211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（一）分层设计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E366D4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（二）关键设计决策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006DD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（三）双周轻量反馈的最小闭环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81A98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五、实施路线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13490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（一）四个阶段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E4212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（二）角色与责任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3EEC1C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六、风险与边界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D6E1E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七、结论与建议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549A93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附录：案例索引与核实说明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B81BD8C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2BD3414">
      <w:pPr>
        <w:pStyle w:val="000005"/>
        <w:keepNext w:val="1"/>
        <w:keepLines w:val="1"/>
        <w:pBdr>
          <w:left w:val="single" w:color="1565c0" w:sz="24"/>
        </w:pBdr>
        <w:shd w:val="clear" w:fill="f5f7fa"/>
        <w:spacing w:before="312" w:beforeAutospacing="1" w:after="132" w:afterAutospacing="1" w:line="336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a237e"/>
          <w:sz w:val="28"/>
        </w:rPr>
        <w:t>执行摘要</w:t>
      </w:r>
      <w:bookmarkEnd w:id="1"/>
    </w:p>
    <w:p w14:paraId="6A009133">
      <w:pPr>
        <w:pBdr>
          <w:left w:val="single" w:color="1565c0" w:sz="24"/>
        </w:pBdr>
        <w:shd w:val="clear" w:fill="f5f7fa"/>
        <w:spacing w:before="312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本报告把《知行职业学院 · 业务需求发现报告》中的六条候选需求，转译为“同行怎么做、开源代码怎么落地、我们该借什么、不该借什么”的实施方案。检索与核实范围覆盖 GitHub 上的实习管理全流程系统、大模型结构化评审与评分框架，以及可观测与评测基础设施，所有仓库的 Stars、主语言与许可证均于 2026-10-23 通过 GitHub REST API 逐条核对。</w:t>
      </w:r>
    </w:p>
    <w:p w14:paraId="575C36D8">
      <w:pPr>
        <w:pBdr>
          <w:left w:val="single" w:color="1565c0" w:sz="24"/>
        </w:pBdr>
        <w:shd w:val="clear" w:fill="f5f7fa"/>
        <w:spacing w:before="312" w:after="180" w:line="384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核心判断有三条。第一，本项目真正的瓶颈不是“把文本整理成建议”，而是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反馈缺少岗位任务与行为实例、评分口径未对齐、批次与导师映射不稳</w:t>
      </w:r>
      <w:r>
        <w:rPr>
          <w:rFonts w:hint="eastAsia" w:ascii="宋体" w:hAnsi="宋体" w:eastAsia="宋体" w:cs="宋体"/>
          <w:color w:val="212121"/>
          <w:sz w:val="24"/>
        </w:rPr>
        <w:t>；同行案例中最值得借鉴的恰是“结构化组件 + 人工确认”这一层，而不是更强的生成能力。第二，GitHub 上</w:t>
      </w:r>
      <w:r>
        <w:rPr>
          <w:rFonts w:hint="eastAsia" w:ascii="宋体" w:hAnsi="宋体" w:eastAsia="宋体" w:cs="宋体"/>
          <w:b w:val="1"/>
          <w:color w:val="212121"/>
          <w:sz w:val="24"/>
        </w:rPr>
        <w:t>不存在可直接复用的“实习反馈→课程改进”成熟开源项目</w:t>
      </w:r>
      <w:r>
        <w:rPr>
          <w:rFonts w:hint="eastAsia" w:ascii="宋体" w:hAnsi="宋体" w:eastAsia="宋体" w:cs="宋体"/>
          <w:color w:val="212121"/>
          <w:sz w:val="24"/>
        </w:rPr>
        <w:t>，现存的实习管理系统只解决流程台账与成绩登记，AI 能力最贴近的是个人项目 trinethra，其成熟度与许可证不足以作为生产依赖。第三，可用性最稳的开源资产集中在</w:t>
      </w:r>
      <w:r>
        <w:rPr>
          <w:rFonts w:hint="eastAsia" w:ascii="宋体" w:hAnsi="宋体" w:eastAsia="宋体" w:cs="宋体"/>
          <w:b w:val="1"/>
          <w:color w:val="212121"/>
          <w:sz w:val="24"/>
        </w:rPr>
        <w:t>旁路能力</w:t>
      </w:r>
      <w:r>
        <w:rPr>
          <w:rFonts w:hint="eastAsia" w:ascii="宋体" w:hAnsi="宋体" w:eastAsia="宋体" w:cs="宋体"/>
          <w:color w:val="212121"/>
          <w:sz w:val="24"/>
        </w:rPr>
        <w:t>：文档解析、模型网关、评测与编排。</w:t>
      </w:r>
    </w:p>
    <w:p w14:paraId="3603D186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由此建议采用“轻改造 + 旁路增强”路线，把 AI 挂在既有流程旁边，而不是替换既有实习管理系统。最小试点与需求报告一致：机电专业、5 家企业、30 条历史反馈回放、8 周并行试点；预算 12 万元内优先投入数据映射与评测集建设，模型与框架全部走开源或按量付费，不自建 GPU 集群。</w:t>
      </w:r>
    </w:p>
    <w:p w14:paraId="4612E910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一、需求事实基线</w:t>
      </w:r>
      <w:bookmarkEnd w:id="2"/>
    </w:p>
    <w:p w14:paraId="68A7D45B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在讨论同行方案之前，先把“要解决什么”钉死。需求报告的 35 条事实指向同一条断裂链路：企业评分 → 教师回访 → 教务汇总 → 专业组评审，但建议常没有落到具体课程（education-f01）。这条链路上分布着六个可独立验证的需求点。</w:t>
      </w:r>
    </w:p>
    <w:p w14:paraId="55350423">
      <w:pPr>
        <w:jc w:val="center"/>
      </w:pPr>
      <w:r>
        <w:rPr>
          <w:rFonts w:hint="eastAsia"/>
          <w:color w:val="888888"/>
          <w:sz w:val="18"/>
        </w:rPr>
        <w:t>表 1　六条候选需求与关键事实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4"/>
        <w:gridCol w:w="2491"/>
        <w:gridCol w:w="1328"/>
        <w:gridCol w:w="747"/>
        <w:gridCol w:w="3073"/>
      </w:tblGrid>
      <w:tr>
        <w:trPr>
          <w:tblHeader w:val="1"/>
        </w:trPr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1F26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编号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AC86A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需求假设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80C40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责任角色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931B8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优先级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5242B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关键事实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2329C3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R1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01EB9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反馈需绑定岗位任务与行为实例，才能形成可执行课程改进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25FFE4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林亦舟、叶书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57F404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880FF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企业只写“沟通能力不足”，教师不知发生在哪个岗位任务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B3740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R2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DAB9A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评分与任务口径需企业与学校共同校准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16DD9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顾明岚牵头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601457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C9E83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企业重设备点检与交接、学校偏理论，口径不一致须停自动建议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781482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R3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0BBA4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双周轻量反馈可提升完整率，但须与人工流程并行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84BBD9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林亦舟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0B31C9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BAC44D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完整率 54%，目标 85%；教师每月约 10 小时整理微信、Excel、邮件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2B68D6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R4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9129A8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换岗与延期需结构化交接，避免反馈发错人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00350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唐映秋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924423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P1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9A5BC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换岗后系统仍关联旧导师；关键原因散落在群聊与个人表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D8B2C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R5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14E06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批次与导师映射是前置条件，缺失字段进人工修复队列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66D68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秦芮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F01D6B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3485CF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学籍、实习、课程平台使用不同 ID；仅开放只读批量导出</w:t>
            </w:r>
          </w:p>
        </w:tc>
      </w:tr>
      <w:tr>
        <w:trPr/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BBA04A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R6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2C8BD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评价须可追溯且限制访问，兜底转人工要留全痕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2F5CC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傅景</w:t>
            </w:r>
          </w:p>
        </w:tc>
        <w:tc>
          <w:tcPr>
            <w:tcW w:w="74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6FF2B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P0</w:t>
            </w:r>
          </w:p>
        </w:tc>
        <w:tc>
          <w:tcPr>
            <w:tcW w:w="307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37878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学生个人评价不得跨企业公开；能力推断必须有行为实例</w:t>
            </w:r>
          </w:p>
        </w:tc>
      </w:tr>
    </w:tbl>
    <w:p w14:paraId="2F678A6E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三条硬约束贯穿全部方案，任何同行做法只要违反其一就不能直接用：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模型不能决定学生成绩</w:t>
      </w:r>
      <w:r>
        <w:rPr>
          <w:rFonts w:hint="eastAsia" w:ascii="宋体" w:hAnsi="宋体" w:eastAsia="宋体" w:cs="宋体"/>
          <w:color w:val="212121"/>
          <w:sz w:val="24"/>
        </w:rPr>
        <w:t>（education-f09）；</w:t>
      </w:r>
      <w:r>
        <w:rPr>
          <w:rFonts w:hint="eastAsia" w:ascii="宋体" w:hAnsi="宋体" w:eastAsia="宋体" w:cs="宋体"/>
          <w:b w:val="1"/>
          <w:color w:val="212121"/>
          <w:sz w:val="24"/>
        </w:rPr>
        <w:t>未确认的辅助结果不能覆盖原记录</w:t>
      </w:r>
      <w:r>
        <w:rPr>
          <w:rFonts w:hint="eastAsia" w:ascii="宋体" w:hAnsi="宋体" w:eastAsia="宋体" w:cs="宋体"/>
          <w:color w:val="212121"/>
          <w:sz w:val="24"/>
        </w:rPr>
        <w:t>，每条结果必须显示原记录（education-f24）；</w:t>
      </w:r>
      <w:r>
        <w:rPr>
          <w:rFonts w:hint="eastAsia" w:ascii="宋体" w:hAnsi="宋体" w:eastAsia="宋体" w:cs="宋体"/>
          <w:b w:val="1"/>
          <w:color w:val="212121"/>
          <w:sz w:val="24"/>
        </w:rPr>
        <w:t>接口失败时继续人工流程</w:t>
      </w:r>
      <w:r>
        <w:rPr>
          <w:rFonts w:hint="eastAsia" w:ascii="宋体" w:hAnsi="宋体" w:eastAsia="宋体" w:cs="宋体"/>
          <w:color w:val="212121"/>
          <w:sz w:val="24"/>
        </w:rPr>
        <w:t>，保留只读快照与时间戳（education-f30）。</w:t>
      </w:r>
    </w:p>
    <w:p w14:paraId="7EE3A06E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验收口径同样已被写死，后续所有方案都必须围绕它设计：专业组审阅 30 条建议，</w:t>
      </w:r>
      <w:r>
        <w:rPr>
          <w:rFonts w:hint="eastAsia" w:ascii="宋体" w:hAnsi="宋体" w:eastAsia="宋体" w:cs="宋体"/>
          <w:b w:val="1"/>
          <w:color w:val="c62828"/>
          <w:sz w:val="24"/>
        </w:rPr>
        <w:t>至少 24 条</w:t>
      </w:r>
      <w:r>
        <w:rPr>
          <w:rFonts w:hint="eastAsia" w:ascii="宋体" w:hAnsi="宋体" w:eastAsia="宋体" w:cs="宋体"/>
          <w:color w:val="212121"/>
          <w:sz w:val="24"/>
        </w:rPr>
        <w:t xml:space="preserve">能对应到课程、任务与改进负责人；反馈完整率从 </w:t>
      </w:r>
      <w:r>
        <w:rPr>
          <w:rFonts w:hint="eastAsia" w:ascii="宋体" w:hAnsi="宋体" w:eastAsia="宋体" w:cs="宋体"/>
          <w:b w:val="1"/>
          <w:color w:val="c62828"/>
          <w:sz w:val="24"/>
        </w:rPr>
        <w:t>54% 提升到 85%</w:t>
      </w:r>
      <w:r>
        <w:rPr>
          <w:rFonts w:hint="eastAsia" w:ascii="宋体" w:hAnsi="宋体" w:eastAsia="宋体" w:cs="宋体"/>
          <w:color w:val="212121"/>
          <w:sz w:val="24"/>
        </w:rPr>
        <w:t>；分母、统计周期与排除规则由业务负责人固定，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不能用消息发送量代替实际完成量</w:t>
      </w:r>
      <w:r>
        <w:rPr>
          <w:rFonts w:hint="eastAsia" w:ascii="宋体" w:hAnsi="宋体" w:eastAsia="宋体" w:cs="宋体"/>
          <w:color w:val="212121"/>
          <w:sz w:val="24"/>
        </w:rPr>
        <w:t>（education-f34）。</w:t>
      </w:r>
    </w:p>
    <w:p w14:paraId="5B4A2849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二、GitHub 同行案例地图</w:t>
      </w:r>
      <w:bookmarkEnd w:id="3"/>
    </w:p>
    <w:p w14:paraId="17AC65BC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按“与本项目的相关层级”分为四类。核实信息包括仓库全名、Stars、主语言、许可证与最近推送时间，均可通过附录链接复现。</w:t>
      </w:r>
    </w:p>
    <w:p w14:paraId="3F010BDD">
      <w:pPr>
        <w:jc w:val="center"/>
      </w:pPr>
      <w:r>
        <w:rPr>
          <w:rFonts w:hint="eastAsia"/>
          <w:color w:val="888888"/>
          <w:sz w:val="18"/>
        </w:rPr>
        <w:t>表 2　同行案例分层地图（数据核实于 2026-10-23）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2159"/>
        <w:gridCol w:w="664"/>
        <w:gridCol w:w="830"/>
        <w:gridCol w:w="996"/>
        <w:gridCol w:w="913"/>
        <w:gridCol w:w="1328"/>
      </w:tblGrid>
      <w:tr>
        <w:trPr>
          <w:tblHeader w:val="1"/>
        </w:trPr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67CA85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层级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582A5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仓库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D82AE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微软雅黑" w:hAnsi="微软雅黑" w:eastAsia="微软雅黑" w:cs="微软雅黑"/>
                <w:b w:val="1"/>
                <w:color w:val="1a237e"/>
                <w:sz w:val="18"/>
              </w:rPr>
              <w:t>Stars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FE20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主语言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BE4BA1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许可证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6691F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最近推送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9DC6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与本项目的关系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BFAB0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直接同行·业务流程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056264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wwqking/Internship-Management-System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926B42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11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D8226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JavaScript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ACE289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未声明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56D938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2024-07-23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E13F2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国内高校实习管理系统，三角色、周报、成绩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8FA99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直接同行·业务流程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ABE2C5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NicolaKesla/ITS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516C6D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F87176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JavaScript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69F6F9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未声明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13DAC8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2026-06-24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D934DA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大学实习全生命周期跟踪，含评分与报告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8030D7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直接同行·业务流程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A7DA04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M4CLEM/OIE-main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4D6733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F27836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JavaScript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61FDA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未声明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181307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2025-07-08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4E380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OJT 管理，含可配置量规成绩计算与企业端评分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DAAAFD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最接近的 AI 实现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76EB8D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7upcharge/trinethra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2D6CE3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A78DF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JavaScript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4AF55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未声明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E01388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2026-05-13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E5A422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督导反馈分析：量规打分 + 证据摘录 + 缺口检测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9FC88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方法论·结构化评分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81CA79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AI4STEM-Education-Center/AutoSCORE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480F3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B12F3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C81268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MIT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7FC98A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2026-05-26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CF15B3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量规组件抽取 + 评分双智能体，AAAI/EAAI 2026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98763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方法论·证据化评估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201648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JesseRodriguez/LaTA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CE5B90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0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EA57D1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C836E7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AGPL-3.0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97C903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2026-10-22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C380C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分段→按量规评分→结构化 JSON→反馈报告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AEFB8A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基础设施·解析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E48093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docling-project/docling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3C838B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69394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53363A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A03F3F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MIT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76C8B4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2026-10-22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FBEDD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企业问卷、Word/PDF 反馈批量解析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D6FE8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基础设施·解析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43DDFF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microsoft/markitdown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6FCDF6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191669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8B39CF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DBC63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MIT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B7831C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2026-10-22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DCE5B9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Office 文档转 Markdown，轻量兜底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B1F13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基础设施·网关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95823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BerriAI/litellm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E1C8DA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61838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05A61D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963E84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自定义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29116C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2026-10-23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514BE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统一接入多模型，成本与降级可控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2F82F1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基础设施·评测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BEDD1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confident-ai/deepeval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C5A721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19044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EA4B2D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BF31BC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Apache-2.0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681425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2026-10-19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0B4BD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为“建议可执行”建评测集与回归门禁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2F8200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基础设施·评测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948279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promptfoo/promptfoo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CD82FE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26309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BBBEC3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TypeScript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2A356C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MIT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971003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2026-10-23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07F488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Prompt / 回归对比测试，CI 可跑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20F5B8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基础设施·编排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06A232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langgenius/dify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1A4CD2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159287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713A9C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EFA21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自定义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55836D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2026-10-23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C48542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低代码编排与人工介入节点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EE747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编排参考·架构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3111DA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langchain-ai/open_deep_research</w:t>
            </w:r>
          </w:p>
        </w:tc>
        <w:tc>
          <w:tcPr>
            <w:tcW w:w="66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793353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12676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46BF8C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Python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F78737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MIT</w:t>
            </w:r>
          </w:p>
        </w:tc>
        <w:tc>
          <w:tcPr>
            <w:tcW w:w="91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AD59B3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2026-08-10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674610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规划→并行检索→反思→合成，架构可借</w:t>
            </w:r>
          </w:p>
        </w:tc>
      </w:tr>
    </w:tbl>
    <w:p w14:paraId="095FED8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f5f7fa"/>
            <w:vAlign w:val="center"/>
          </w:tcPr>
          <w:p w14:paraId="4B6E72B8">
            <w:pPr>
              <w:jc w:val="left"/>
              <w:rPr>
                <w:color w:val="616161"/>
              </w:rPr>
            </w:pPr>
            <w:r>
              <w:rPr>
                <w:rFonts w:hint="eastAsia" w:ascii="宋体" w:hAnsi="宋体" w:eastAsia="宋体" w:cs="宋体"/>
                <w:color w:val="616161"/>
                <w:sz w:val="18"/>
              </w:rPr>
              <w:t>说明：Stars 数量不代表工程质量。本表中多个直接同行仓库 Stars 很低，说明这一细分领域尚无经过大规模生产验证的开源方案——这一点本身就是重要结论：不要指望“拿来即用”。</w:t>
            </w:r>
          </w:p>
        </w:tc>
      </w:tr>
    </w:tbl>
    <w:p w14:paraId="7A70F8D3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4" w:name="section-3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（一）实习管理类系统：解决台账，不解决能力缺口</w:t>
      </w:r>
      <w:bookmarkEnd w:id="4"/>
    </w:p>
    <w:p w14:paraId="02913AAC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wwqking/Internship-Management-System 是国内毕业设计级别的 Spring Boot + Vue 实习管理平台，三角色（管理员、教师、学生），功能覆盖实习信息、实习周报、实习成绩、论坛与公告。它的价值在于</w:t>
      </w:r>
      <w:r>
        <w:rPr>
          <w:rFonts w:hint="eastAsia" w:ascii="宋体" w:hAnsi="宋体" w:eastAsia="宋体" w:cs="宋体"/>
          <w:b w:val="1"/>
          <w:color w:val="212121"/>
          <w:sz w:val="24"/>
        </w:rPr>
        <w:t>领域数据模型与中文业务语义</w:t>
      </w:r>
      <w:r>
        <w:rPr>
          <w:rFonts w:hint="eastAsia" w:ascii="宋体" w:hAnsi="宋体" w:eastAsia="宋体" w:cs="宋体"/>
          <w:color w:val="212121"/>
          <w:sz w:val="24"/>
        </w:rPr>
        <w:t>：实习单位、岗位、周报、成绩、教师分工等实体关系可以直接对照，避免从零猜字段。短板同样明确：没有岗位任务层，没有行为实例，没有评分口径版本，仓库未声明许可证，最近推送为 2024 年 7 月，不能作为生产依赖。</w:t>
      </w:r>
    </w:p>
    <w:p w14:paraId="3CBF15AD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NicolaKesla/ITS 是土耳其 Gebze Technical University 的实习跟踪系统，Node.js + Express + PostgreSQL + Prisma + React，含 JWT 鉴权与 pdf-parse 文档解析，覆盖从申请到评分、报告的完整生命周期。可借之处是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工程结构与文档解析的位置</w:t>
      </w:r>
      <w:r>
        <w:rPr>
          <w:rFonts w:hint="eastAsia" w:ascii="宋体" w:hAnsi="宋体" w:eastAsia="宋体" w:cs="宋体"/>
          <w:color w:val="212121"/>
          <w:sz w:val="24"/>
        </w:rPr>
        <w:t>（实习文件在入口即被解析，而不是后期补录），以及一份明确的安全加固清单。局限是角色仅到管理、委员会主席、委员会成员三级，没有企业导师视角，也没有任何 AI 组件。</w:t>
      </w:r>
    </w:p>
    <w:p w14:paraId="387A69DE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M4CLEM/OIE-main 是菲律宾 PLMUN 的 OJT 管理系统，PHP + MySQL，最值得看的是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可配置评分量规</w:t>
      </w:r>
      <w:r>
        <w:rPr>
          <w:rFonts w:hint="eastAsia" w:ascii="宋体" w:hAnsi="宋体" w:eastAsia="宋体" w:cs="宋体"/>
          <w:color w:val="212121"/>
          <w:sz w:val="24"/>
        </w:rPr>
        <w:t>：协调员可按企业或批量定义评分标准与权重，导师与企业分别打分后由系统按量规计算最终成绩，并有“学生申请换企业需导师批准”的显式流程。它对本项目 R4（换岗交接）与 R2（口径校准）有直接参照意义——换岗在他们的系统里是一次带审批的显式事件，而不是后台静默改字段。</w:t>
      </w:r>
    </w:p>
    <w:p w14:paraId="2757C128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三者共同的缺口是：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没有一个把“企业反馈文本”与“课程模块”连起来</w:t>
      </w:r>
      <w:r>
        <w:rPr>
          <w:rFonts w:hint="eastAsia" w:ascii="宋体" w:hAnsi="宋体" w:eastAsia="宋体" w:cs="宋体"/>
          <w:color w:val="212121"/>
          <w:sz w:val="24"/>
        </w:rPr>
        <w:t>。这正是本项目要做的事，也是无法直接复用它们的原因。</w:t>
      </w:r>
    </w:p>
    <w:p w14:paraId="7E6AD359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5" w:name="section-3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（二）最接近的 AI 实现：trinethra 的四个设计决策</w:t>
      </w:r>
      <w:bookmarkEnd w:id="5"/>
    </w:p>
    <w:p w14:paraId="130FDBEA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7upcharge/trinethra 是检索结果中与本项目最贴合的 AI 实现：粘贴督导反馈转写，约 60 秒产出结构化草稿，包含量规分（1–10）与理由、按信号与维度标注的证据摘录、KPI 映射、维度缺口分析，以及 3–5 条追问。它的四条设计决策可以直接搬到本项目。</w:t>
      </w:r>
    </w:p>
    <w:p w14:paraId="19141BE1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第一，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“草稿供复核”而非“结论”</w:t>
      </w:r>
      <w:r>
        <w:rPr>
          <w:rFonts w:hint="eastAsia" w:ascii="宋体" w:hAnsi="宋体" w:eastAsia="宋体" w:cs="宋体"/>
          <w:color w:val="212121"/>
          <w:sz w:val="24"/>
        </w:rPr>
        <w:t>。界面顶部固定一条黄色横幅写明这是草稿，分数旁挂 high/medium/low 置信度徽标，模型被要求显式点名它检测到的偏差类型。这与 education-f24“未确认的结果不能覆盖原记录”高度一致，可作为交互层的直接参考。</w:t>
      </w:r>
    </w:p>
    <w:p w14:paraId="56EDD980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第二，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缺口检测用“逐项判定存在与否”而不是“你缺什么”</w:t>
      </w:r>
      <w:r>
        <w:rPr>
          <w:rFonts w:hint="eastAsia" w:ascii="宋体" w:hAnsi="宋体" w:eastAsia="宋体" w:cs="宋体"/>
          <w:color w:val="212121"/>
          <w:sz w:val="24"/>
        </w:rPr>
        <w:t>。提示词把四个评估维度全部列出，要求模型对每个维度做存在性分类。这是把开放式问题转成结构化分类的经典技巧，直接对应本项目“行为实例是否缺失”的判定需求。</w:t>
      </w:r>
    </w:p>
    <w:p w14:paraId="03ED3235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第三，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结构化输出三级降级</w:t>
      </w:r>
      <w:r>
        <w:rPr>
          <w:rFonts w:hint="eastAsia" w:ascii="宋体" w:hAnsi="宋体" w:eastAsia="宋体" w:cs="宋体"/>
          <w:color w:val="212121"/>
          <w:sz w:val="24"/>
        </w:rPr>
        <w:t>。先直解 JSON，失败则提取 JSON 块，再失败则从 Markdown 代码块提取，全失败带“只返回 JSON”的指令重试一次，并把所用解析方式写入元数据字段。解析方式本身成为置信度信号——这一点非常适合移植到“待补信息”队列的设计里。</w:t>
      </w:r>
    </w:p>
    <w:p w14:paraId="217B0F32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第四，</w:t>
      </w:r>
      <w:r>
        <w:rPr>
          <w:rFonts w:hint="eastAsia" w:ascii="宋体" w:hAnsi="宋体" w:eastAsia="宋体" w:cs="宋体"/>
          <w:b w:val="1"/>
          <w:color w:val="212121"/>
          <w:sz w:val="24"/>
        </w:rPr>
        <w:t>单次调用而非链路调用</w:t>
      </w:r>
      <w:r>
        <w:rPr>
          <w:rFonts w:hint="eastAsia" w:ascii="宋体" w:hAnsi="宋体" w:eastAsia="宋体" w:cs="宋体"/>
          <w:color w:val="212121"/>
          <w:sz w:val="24"/>
        </w:rPr>
        <w:t>。作者在小模型上实测，五次串行调用需要 5 分钟以上，超出业务流程容忍度，因此选择单提示词加严格 schema。本项目在 5 家企业并行试点时同样受教师工时约束，这个权衡需要提前想清楚。</w:t>
      </w:r>
    </w:p>
    <w:p w14:paraId="6B2AAE01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需要明确的是：trinethra 是单人项目，0 Stars，未声明许可证，仅支持本地 Ollama，无多租户、无审计日志、无权限分级。它只能作为</w:t>
      </w:r>
      <w:r>
        <w:rPr>
          <w:rFonts w:hint="eastAsia" w:ascii="宋体" w:hAnsi="宋体" w:eastAsia="宋体" w:cs="宋体"/>
          <w:b w:val="1"/>
          <w:color w:val="212121"/>
          <w:sz w:val="24"/>
        </w:rPr>
        <w:t>参考实现与设计思路来源</w:t>
      </w:r>
      <w:r>
        <w:rPr>
          <w:rFonts w:hint="eastAsia" w:ascii="宋体" w:hAnsi="宋体" w:eastAsia="宋体" w:cs="宋体"/>
          <w:color w:val="212121"/>
          <w:sz w:val="24"/>
        </w:rPr>
        <w:t>，不能作为依赖引入。</w:t>
      </w:r>
    </w:p>
    <w:p w14:paraId="6F573CCB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6" w:name="section-3-3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（三）方法论类：AutoSCORE 与 LaTA 回答“评分怎么做得可信”</w:t>
      </w:r>
      <w:bookmarkEnd w:id="6"/>
    </w:p>
    <w:p w14:paraId="38E6B840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AutoSCORE（AAAI/EAAI 2026，MIT）针对的正是“大模型端到端打分不可靠”的问题：准确率低、对提示词敏感、可解释性差、与量规不对齐。它的做法是拆成两个智能体——</w:t>
      </w:r>
      <w:r>
        <w:rPr>
          <w:rFonts w:hint="eastAsia" w:ascii="宋体" w:hAnsi="宋体" w:eastAsia="宋体" w:cs="宋体"/>
          <w:b w:val="1"/>
          <w:color w:val="212121"/>
          <w:sz w:val="24"/>
        </w:rPr>
        <w:t>量规组件抽取智能体</w:t>
      </w:r>
      <w:r>
        <w:rPr>
          <w:rFonts w:hint="eastAsia" w:ascii="宋体" w:hAnsi="宋体" w:eastAsia="宋体" w:cs="宋体"/>
          <w:color w:val="212121"/>
          <w:sz w:val="24"/>
        </w:rPr>
        <w:t>先从作答与任务上下文中识别与量规相关的证据，编码为结构化表示；</w:t>
      </w:r>
      <w:r>
        <w:rPr>
          <w:rFonts w:hint="eastAsia" w:ascii="宋体" w:hAnsi="宋体" w:eastAsia="宋体" w:cs="宋体"/>
          <w:b w:val="1"/>
          <w:color w:val="212121"/>
          <w:sz w:val="24"/>
        </w:rPr>
        <w:t>评分智能体</w:t>
      </w:r>
      <w:r>
        <w:rPr>
          <w:rFonts w:hint="eastAsia" w:ascii="宋体" w:hAnsi="宋体" w:eastAsia="宋体" w:cs="宋体"/>
          <w:color w:val="212121"/>
          <w:sz w:val="24"/>
        </w:rPr>
        <w:t>再基于该结构化表示给出分数。在 ASAP 四个数据集上，用 GPT-4o、LLaMA-3.1-8B/70B 评测，多智能体方案在 QWK、相关性、MAE、RMSE 上一致优于单智能体基线，且在复杂多维量规上收益最明显，在小模型上相对提升最大。</w:t>
      </w:r>
    </w:p>
    <w:p w14:paraId="39793124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对本项目的直接启发：不要让模型直接输出“这条建议可不可执行”，而是先抽“岗位任务—行为实例—能力项”三元组作为结构化中间层，再由规则或人工判定“可执行”。这一拆分同时解决两个问题——可解释性（每条结论都能回溯到抽取到的组件）与小模型可用性（试点预算 12 万元，不可能全程用最强模型）。</w:t>
      </w:r>
    </w:p>
    <w:p w14:paraId="0748E972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LaTA 是 Gradescope 作业批改流水线，四段式：Ingest（读取提交与元数据，迟到判定取两个文件的较晚时间）→ Segment（按模式或小模型切分题目）→ Grade（推理模型对照参考解与量规逐题评分，返回结构化 JSON：每个量规项得分、给教师的内部审计备注、给学生的苏格拉底式提示）→ Report（渲染为反馈报告）。两个细节值得抄：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评分结果在使用前要与量规做一次校验</w:t>
      </w:r>
      <w:r>
        <w:rPr>
          <w:rFonts w:hint="eastAsia" w:ascii="宋体" w:hAnsi="宋体" w:eastAsia="宋体" w:cs="宋体"/>
          <w:color w:val="212121"/>
          <w:sz w:val="24"/>
        </w:rPr>
        <w:t>，以及</w:t>
      </w:r>
      <w:r>
        <w:rPr>
          <w:rFonts w:hint="eastAsia" w:ascii="宋体" w:hAnsi="宋体" w:eastAsia="宋体" w:cs="宋体"/>
          <w:b w:val="1"/>
          <w:color w:val="212121"/>
          <w:sz w:val="24"/>
        </w:rPr>
        <w:t>审计备注与学生可见反馈是两份不同的产物</w:t>
      </w:r>
      <w:r>
        <w:rPr>
          <w:rFonts w:hint="eastAsia" w:ascii="宋体" w:hAnsi="宋体" w:eastAsia="宋体" w:cs="宋体"/>
          <w:color w:val="212121"/>
          <w:sz w:val="24"/>
        </w:rPr>
        <w:t>。后者正好对应本项目“教师看到的原文与依据”和“学生看到的改进建议”必须分离的要求（education-f13、education-f33）。</w:t>
      </w:r>
    </w:p>
    <w:p w14:paraId="2694BB93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7" w:name="section-3-4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（四）基础设施类：可用性最高的一层</w:t>
      </w:r>
      <w:bookmarkEnd w:id="7"/>
    </w:p>
    <w:p w14:paraId="048631DD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这一层的价值不在于“像不像同行”，而在于决定试点能否在 8 周内跑起来。</w:t>
      </w:r>
    </w:p>
    <w:p w14:paraId="69B0375D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Docling（MIT，69k Stars）负责把企业发来的 Word、PDF 问卷与评价表批量转成结构化文本，MarkItDown（MIT，191k Stars）作为轻量兜底。本项目现场大量反馈是微信截图、Excel、邮件附件（education-f06），解析层的稳定性直接决定“反馈完整率”能不能从 54% 走到 85%，这是最容易被低估的一环。</w:t>
      </w:r>
    </w:p>
    <w:p w14:paraId="6D6748EB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LiteLLM（61k Stars）作为统一模型网关，把模型调用抽象成同一接口，好处是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成本可观测、可切换、可降级</w:t>
      </w:r>
      <w:r>
        <w:rPr>
          <w:rFonts w:hint="eastAsia" w:ascii="宋体" w:hAnsi="宋体" w:eastAsia="宋体" w:cs="宋体"/>
          <w:color w:val="212121"/>
          <w:sz w:val="24"/>
        </w:rPr>
        <w:t>：某家模型不可用时自动回退，符合 education-f30“接口失败时继续人工流程”的兜底要求。</w:t>
      </w:r>
    </w:p>
    <w:p w14:paraId="7F7E612A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DeepEval（Apache-2.0，19k Stars）与 Promptfoo（MIT，26k Stars）负责把“建议可执行”变成可回归的评测集。这一点是很多同类项目失败的地方：改了提示词，没人知道变好还是变坏。建议把 30 条历史反馈的回放结果固化为评测集，每次规则或提示词变更都跑一次，把“至少 24 条可执行”作为发布门禁。</w:t>
      </w:r>
    </w:p>
    <w:p w14:paraId="205DA5D7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Dify（159k Stars）与 open_deep_research（MIT，12.7k Stars）提供编排层参照。后者的“规划 → 并行子智能体 → 反思 → 压缩 → 合成”结构，以及“子智能体各自隔离上下文”的做法，适合本项目按企业或按专业批量处理反馈时避免上下文串味。</w:t>
      </w:r>
    </w:p>
    <w:p w14:paraId="50491A43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8" w:name="section-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三、同行方案对比</w:t>
      </w:r>
      <w:bookmarkEnd w:id="8"/>
    </w:p>
    <w:p w14:paraId="4FDB2196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把同行做法收敛为三条可选路线，先按“数据风险、教师工时、是否与既有约束冲突”三个硬条件做取舍，再进入逐项对照。</w:t>
      </w:r>
    </w:p>
    <w:p w14:paraId="19E2B663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9" w:name="section-4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（一）三条可选路线</w:t>
      </w:r>
      <w:bookmarkEnd w:id="9"/>
    </w:p>
    <w:p w14:paraId="06D9FF3D">
      <w:pPr>
        <w:jc w:val="center"/>
      </w:pPr>
      <w:r>
        <w:rPr>
          <w:rFonts w:hint="eastAsia"/>
          <w:color w:val="888888"/>
          <w:sz w:val="18"/>
        </w:rPr>
        <w:t>表 3　三条技术路线对比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325"/>
        <w:gridCol w:w="2325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F865F7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维度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45F973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路线 A：替换既有系统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F4C94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路线 B：轻改造既有系统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082498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路线 C：旁路增强（推荐）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BECB20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做法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5BB636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用开源实习管理系统整体替换现有平台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93DEB4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在现有实习平台内加字段与模块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007CDA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AI 挂在流程旁边，只读导出 + 建议草稿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78ED6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参照对象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5FCA71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wwqking / ITS / OIE-main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C026E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OIE-main 的量规配置 + 换岗审批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66C39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AutoSCORE 结构 + trinethra 交互 + LaTA 审计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EDE43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数据风险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A4932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高（历史数据迁移）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EEB39A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中（改表结构，影响在跑业务）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79071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低（只读，不改原记录）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7DE4EC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教师工时影响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47575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高（全员重新培训）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EEE5F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中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1FECF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低（双周模板替代长问卷）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D49C89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与既有约束的冲突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D9B596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违反“不能直接关掉现有人工流程”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62234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轻微冲突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D8262F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F79135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8 周内可验证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ACD83C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否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E913C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勉强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9359BC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是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ADF12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12 万元预算内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378AE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否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DFD11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不确定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78661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是</w:t>
            </w:r>
          </w:p>
        </w:tc>
      </w:tr>
    </w:tbl>
    <w:p w14:paraId="2F829A11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路线 C 与需求报告“先历史回放、再并行试点，不能直接关掉现有人工流程”（education-f21）以及“仅开放只读批量导出，成绩写回接口不在本次范围”（education-f12）完全对齐。下文按路线 C 展开。</w:t>
      </w:r>
    </w:p>
    <w:p w14:paraId="33106229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0" w:name="section-4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（二）与三个具体同行的逐项对照</w:t>
      </w:r>
      <w:bookmarkEnd w:id="10"/>
    </w:p>
    <w:p w14:paraId="2A590157">
      <w:pPr>
        <w:jc w:val="center"/>
      </w:pPr>
      <w:r>
        <w:rPr>
          <w:rFonts w:hint="eastAsia"/>
          <w:color w:val="888888"/>
          <w:sz w:val="18"/>
        </w:rPr>
        <w:t>表 4　能力项对照：同行有什么、我们缺什么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2"/>
        <w:gridCol w:w="1661"/>
        <w:gridCol w:w="1162"/>
        <w:gridCol w:w="1079"/>
        <w:gridCol w:w="1328"/>
        <w:gridCol w:w="1661"/>
      </w:tblGrid>
      <w:tr>
        <w:trPr>
          <w:tblHeader w:val="1"/>
        </w:trPr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7EC8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能力项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0C74F5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本项目要求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C6DF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wwqking 实习系统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CC94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微软雅黑" w:hAnsi="微软雅黑" w:eastAsia="微软雅黑" w:cs="微软雅黑"/>
                <w:b w:val="1"/>
                <w:color w:val="1a237e"/>
                <w:sz w:val="18"/>
              </w:rPr>
              <w:t>ITS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9039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微软雅黑" w:hAnsi="微软雅黑" w:eastAsia="微软雅黑" w:cs="微软雅黑"/>
                <w:b w:val="1"/>
                <w:color w:val="1a237e"/>
                <w:sz w:val="18"/>
              </w:rPr>
              <w:t>OIE-main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10E86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本项目取舍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83F1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岗位任务与行为实例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C972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必填，缺失即进人工修复队列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E6223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B05F3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0A90A3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99742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需自建，参考 AutoSCORE 组件抽取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BC951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评分口径版本化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282997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保存生效日期与适用范围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8691EB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5CCA4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E34673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量规可按企业配置，无版本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EBAAF4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自建轻量版本表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339F6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换岗交接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CCFA01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结构化交接单，接手人确认才结束待办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A17F5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7BF4D3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14EB8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换企业需导师审批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19CCB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借 OIE 审批模型，补交接字段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D33CA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学生 ID 映射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7E912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学籍/实习/课程三平台对齐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459FDC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单一用户表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8D9155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单一用户表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AAF2C2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单一用户表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62CCC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自建映射表 + 人工修复队列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1B577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访问控制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45916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学生评价不跨企业公开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34AE0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角色级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79BD1D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角色级 + JWT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EEB69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角色级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7B1C2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需字段级 + 审计日志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7A61B7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反馈文本解析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CEFF2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微信/Excel/邮件混合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747A4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B9D2D0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pdf-parse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EC99A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71046A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Docling + MarkItDown</w:t>
            </w:r>
          </w:p>
        </w:tc>
      </w:tr>
      <w:tr>
        <w:trPr/>
        <w:tc>
          <w:tcPr>
            <w:tcW w:w="14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2B56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建议可执行判定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0B0CEE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30 条中 ≥24 条可对应课程/任务/负责人</w:t>
            </w:r>
          </w:p>
        </w:tc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BEF28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07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E477EB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0BE05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559250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双重判定：模型抽组件 + 专业组签核</w:t>
            </w:r>
          </w:p>
        </w:tc>
      </w:tr>
    </w:tbl>
    <w:p w14:paraId="0FCE9607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对照结论很清楚：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没有一家同行在“可执行判定”这一列有现成实现</w:t>
      </w:r>
      <w:r>
        <w:rPr>
          <w:rFonts w:hint="eastAsia" w:ascii="宋体" w:hAnsi="宋体" w:eastAsia="宋体" w:cs="宋体"/>
          <w:color w:val="212121"/>
          <w:sz w:val="24"/>
        </w:rPr>
        <w:t>。这既是本项目的真正难点，也是唯一值得自建的部分。其余能力都可以用现成组件拼出来。</w:t>
      </w:r>
    </w:p>
    <w:p w14:paraId="7A468F98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11" w:name="section-5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四、推荐架构</w:t>
      </w:r>
      <w:bookmarkEnd w:id="11"/>
    </w:p>
    <w:p w14:paraId="36F4C0A7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推荐架构的目标是让每一个环节都能单独替换、单独验证：数据层不动原记录，解析层不猜缺失值，模型层只出草稿，确认层由人签核。</w:t>
      </w:r>
    </w:p>
    <w:p w14:paraId="0707A393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2" w:name="section-5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（一）分层设计</w:t>
      </w:r>
      <w:bookmarkEnd w:id="12"/>
    </w:p>
    <w:p w14:paraId="63B0BC8A">
      <w:pPr>
        <w:jc w:val="center"/>
      </w:pPr>
      <w:r>
        <w:rPr>
          <w:rFonts w:hint="eastAsia"/>
          <w:color w:val="888888"/>
          <w:sz w:val="18"/>
        </w:rPr>
        <w:t>表 5　推荐架构分层与组件选型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2159"/>
        <w:gridCol w:w="2491"/>
        <w:gridCol w:w="2325"/>
      </w:tblGrid>
      <w:tr>
        <w:trPr>
          <w:tblHeader w:val="1"/>
        </w:trPr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51D68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31D5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职责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4C97A6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选用组件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82E1E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不做什么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DB85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数据接入层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E5937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只读导出、字段校验、批次映射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F86E67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既有平台导出接口 + 自建映射表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64FC80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不写回成绩，不改原记录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646818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解析归一化层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930E4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微信/Excel/邮件/PDF 转结构化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D5A835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Docling、MarkItDown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F266A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不猜测缺失值，空值即进修复队列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E97359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组件抽取层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2D3C1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抽“岗位任务—行为实例—能力项”三元组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310EF3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AutoSCORE 式抽取智能体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833BCC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不直接输出分数或定性结论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A68C05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建议生成层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CC99DA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生成课程改进建议草稿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14F94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结构化输出模型 + 严格 schema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2294C6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不覆盖原记录，全部标记为草稿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CE220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人工确认层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94C29C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专业组/导师签核、争议转人工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2E2EEB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工作流 + 签核留痕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B263F6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未确认不进入课程改进决策</w:t>
            </w:r>
          </w:p>
        </w:tc>
      </w:tr>
      <w:tr>
        <w:trPr/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BDCE71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观测与评测层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90FF63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成本、质量、回归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2E2296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LiteLLM、DeepEval / Promptfoo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D034B5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不用模型置信度代替业务风险判断</w:t>
            </w:r>
          </w:p>
        </w:tc>
      </w:tr>
    </w:tbl>
    <w:p w14:paraId="7474205B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3" w:name="section-5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（二）关键设计决策</w:t>
      </w:r>
      <w:bookmarkEnd w:id="13"/>
    </w:p>
    <w:p w14:paraId="0255EB6A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决策一：把“可执行”定义成可判定的三元组。</w:t>
      </w:r>
      <w:r>
        <w:rPr>
          <w:rFonts w:hint="eastAsia" w:ascii="宋体" w:hAnsi="宋体" w:eastAsia="宋体" w:cs="宋体"/>
          <w:color w:val="212121"/>
          <w:sz w:val="24"/>
        </w:rPr>
        <w:t>一条建议被视为可执行，当且仅当它能同时给出：对应的课程或课程模块、对应的岗位任务、以及明确的改进负责人。这个定义与验收口径（education-f15）逐字对齐，也让“至少 24 条”变成可逐条判定的清单，而不是主观印象。</w:t>
      </w:r>
    </w:p>
    <w:p w14:paraId="65B41BE6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决策二：模型只做抽取与起草，不做判定与打分。</w:t>
      </w:r>
      <w:r>
        <w:rPr>
          <w:rFonts w:hint="eastAsia" w:ascii="宋体" w:hAnsi="宋体" w:eastAsia="宋体" w:cs="宋体"/>
          <w:color w:val="212121"/>
          <w:sz w:val="24"/>
        </w:rPr>
        <w:t>模型输出“行为实例候选 + 能力项候选 + 建议草稿”，是否成立由专业组签核。这与 education-f18“AI 可整理观察事实与建议，最终评价由导师确认”完全一致，也规避了“模型决定学生成绩”的红线。</w:t>
      </w:r>
    </w:p>
    <w:p w14:paraId="77EEE23F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决策三：所有结果必须携带原记录与版本。</w:t>
      </w:r>
      <w:r>
        <w:rPr>
          <w:rFonts w:hint="eastAsia" w:ascii="宋体" w:hAnsi="宋体" w:eastAsia="宋体" w:cs="宋体"/>
          <w:color w:val="212121"/>
          <w:sz w:val="24"/>
        </w:rPr>
        <w:t>每条建议输出需带业务编号、资料版本、事件时间、来源，缺一不可（education-f28）。这与 LaTA 的“审计备注”思路一致：面向教师的记录必须能重建当次处理，面向学生的内容只保留改进提示。</w:t>
      </w:r>
    </w:p>
    <w:p w14:paraId="20CC09DA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决策四：兜底优先于准确率。</w:t>
      </w:r>
      <w:r>
        <w:rPr>
          <w:rFonts w:hint="eastAsia" w:ascii="宋体" w:hAnsi="宋体" w:eastAsia="宋体" w:cs="宋体"/>
          <w:color w:val="212121"/>
          <w:sz w:val="24"/>
        </w:rPr>
        <w:t>触发条件包括学生换岗、评价无行为实例、评分口径不一致、依据缺失、关键系统不可用。命中即停止自动建议，标明原因、接手人与人工确认时间（education-f32）。宁可少给建议，也不给无法追溯的建议。</w:t>
      </w:r>
    </w:p>
    <w:p w14:paraId="6A0322E3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4" w:name="section-5-3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（三）双周轻量反馈的最小闭环</w:t>
      </w:r>
      <w:bookmarkEnd w:id="14"/>
    </w:p>
    <w:p w14:paraId="78DA54A2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针对 R3，建议把企业导师的长问卷拆成双周一次的“三个具体任务例子”模板，只问三件事：这两周学生做了哪个岗位任务、哪一次做得明显好或明显差（要有具体场景）、下两周希望他改进什么。理由是 education-f16 已明确“长问卷会拖到学期结束才填”。教师端的整理工时从每月 10 小时压缩到审核与补录，解析与归类交给解析层和组件抽取层。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62828" w:sz="18"/>
              <w:bottom w:val="none" w:sz="8"/>
              <w:right w:val="none" w:sz="8"/>
            </w:tcBorders>
            <w:shd w:val="clear" w:fill="fcebea"/>
            <w:vAlign w:val="center"/>
          </w:tcPr>
          <w:p w14:paraId="2322AC6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这里必须守住一条统计纪律：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完整率的分子分母由业务负责人固定，不能用消息发送量代替实际完成量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（education-f34）。双周模板发出去不等于收到，收到不等于有行为实例。</w:t>
            </w:r>
          </w:p>
        </w:tc>
      </w:tr>
    </w:tbl>
    <w:p w14:paraId="75053892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15" w:name="section-6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五、实施路线</w:t>
      </w:r>
      <w:bookmarkEnd w:id="15"/>
    </w:p>
    <w:p w14:paraId="2C90D555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13 周分四个阶段推进，每个阶段设明确门槛，不达标不进入下一阶段；试点期内现有人工流程全程并行，任何时点都可回退。</w:t>
      </w:r>
    </w:p>
    <w:p w14:paraId="3ADB96D9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6" w:name="section-6-1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（一）四个阶段</w:t>
      </w:r>
      <w:bookmarkEnd w:id="16"/>
    </w:p>
    <w:p w14:paraId="5B0D0632">
      <w:pPr>
        <w:jc w:val="center"/>
      </w:pPr>
      <w:r>
        <w:rPr>
          <w:rFonts w:hint="eastAsia"/>
          <w:color w:val="888888"/>
          <w:sz w:val="18"/>
        </w:rPr>
        <w:t>表 6　13 周实施路线与阶段门槛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996"/>
        <w:gridCol w:w="2657"/>
        <w:gridCol w:w="1827"/>
        <w:gridCol w:w="1661"/>
      </w:tblGrid>
      <w:tr>
        <w:trPr>
          <w:tblHeader w:val="1"/>
        </w:trPr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21F4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阶段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94E26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周期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1D010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主要动作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CF758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交付物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C62DF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进入下一阶段门槛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ED895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P0 打地基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115FA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 1–2 周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7428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三平台 ID 映射表、只读导出、字段校验、人工修复队列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2BD05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批次映射表、字段完整度报告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D070EE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关键字段缺失率可量化，修复队列有人负责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B68FE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P1 历史回放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B7DD7C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 3–4 周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7DC71E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30 条历史反馈回放，专业组逐条判定课程/任务/负责人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035B4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口径草案、判定分歧清单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8733B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分歧点收敛到可开会解决的数量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267A3A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P2 并行试点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054D2D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 5–12 周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1A38E7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5 家企业双周模板，AI 只出草稿，人工流程照旧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F837F1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每周误判复盘记录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F1FF0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连续两周无重大误判且工时下降</w:t>
            </w:r>
          </w:p>
        </w:tc>
      </w:tr>
      <w:tr>
        <w:trPr/>
        <w:tc>
          <w:tcPr>
            <w:tcW w:w="116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12EEC1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P3 复测决策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3CC48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第 13 周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1E6854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复测完整率与可执行率，决定是否扩面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AE8A8D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复测报告、规则版本更新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3B3D3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达标才扩面，不达标不扩</w:t>
            </w:r>
          </w:p>
        </w:tc>
      </w:tr>
    </w:tbl>
    <w:p w14:paraId="6D0CF812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bookmarkStart w:id="17" w:name="section-6-2"/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（二）角色与责任</w:t>
      </w:r>
      <w:bookmarkEnd w:id="17"/>
    </w:p>
    <w:p w14:paraId="6635C286">
      <w:pPr>
        <w:jc w:val="center"/>
      </w:pPr>
      <w:r>
        <w:rPr>
          <w:rFonts w:hint="eastAsia"/>
          <w:color w:val="888888"/>
          <w:sz w:val="18"/>
        </w:rPr>
        <w:t>表 7　角色分工与否决权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996"/>
        <w:gridCol w:w="3820"/>
        <w:gridCol w:w="1827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FD855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角色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84F9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姓名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A7D5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在本方案中的职责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4E1E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否决权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B7E8F4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产教融合负责人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211374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顾明岚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4AA9E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立项、预算分摊、指定改进负责人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FFA18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FE870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实习指导教师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6CA063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林亦舟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96872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双周节奏执行、建议可用性反馈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4B4BC9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507636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教务管理员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EFEA2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唐映秋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1EBB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异常核对、换岗交接单维护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712A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有（对未核对结果）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FBAB52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校园信息工程师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69365E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秦芮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16848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映射表、只读导出、权限分级、留痕能力说明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BD5CF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830DFA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教学质量负责人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0D4BC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傅景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D8CD7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审核边界、口径版本确认、风险否决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DBCB5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D3A0D3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企业实习导师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4158D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叶书</w:t>
            </w:r>
          </w:p>
        </w:tc>
        <w:tc>
          <w:tcPr>
            <w:tcW w:w="38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23BC39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双周提交行为实例、评分口径共同校准</w:t>
            </w:r>
          </w:p>
        </w:tc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F4C70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无</w:t>
            </w:r>
          </w:p>
        </w:tc>
      </w:tr>
    </w:tbl>
    <w:p w14:paraId="750CCC2F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预算 12 万元需覆盖接口开发、培训、复核与维护四块成本，既有系统采购不计入节省额（education-f19）。建议把最大一块投在 P0 与 P1，即数据映射与 30 条回放评测集——这两项决定后续一切指标是否可信。</w:t>
      </w:r>
    </w:p>
    <w:p w14:paraId="47CE302A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18" w:name="section-7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六、风险与边界</w:t>
      </w:r>
      <w:bookmarkEnd w:id="18"/>
    </w:p>
    <w:p w14:paraId="514CEBC4">
      <w:pPr>
        <w:jc w:val="center"/>
      </w:pPr>
      <w:r>
        <w:rPr>
          <w:rFonts w:hint="eastAsia"/>
          <w:color w:val="888888"/>
          <w:sz w:val="18"/>
        </w:rPr>
        <w:t>表 8　主要风险与应对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2159"/>
        <w:gridCol w:w="2657"/>
        <w:gridCol w:w="1328"/>
      </w:tblGrid>
      <w:tr>
        <w:trPr>
          <w:tblHeader w:val="1"/>
        </w:trPr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684BC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风险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EB1137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触发信号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5DA4B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应对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EA80D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责任角色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AD84D3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映射颗粒度过粗，建议无法落到课程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5CAF2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回放中“可执行”判定大量卡在对应不到课程模块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1B686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先定“可执行”判定人与口径：按岗位任务还是课程模块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3F5E1D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顾明岚、傅景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1A3DCF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口径分歧导致企业与学校互相不认账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47ABB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同一反馈被两方判成不同等级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20FC23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联合校准会产出岗位任务—能力项对照表，登记版本与适用范围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8745C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叶书、傅景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C0D4C6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双周节奏推不动，完整率仍低于 85%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AB8F9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连续两周提交率无改善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3559C7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先查模板长度与企业侧流程，不加大催收力度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AA1552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林亦舟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3686D5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学生个人评价越界扩散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A28DC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出现跨企业可见的个体记录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A1302E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字段级权限 + 审计日志，先由秦芮说明权限分级能力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99305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秦芮、傅景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A74918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演练数据留存超期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6E9E0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90 天到期未处理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0C7DF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到期由教学质量负责人确认删除或归档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9F7BF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傅景</w:t>
            </w:r>
          </w:p>
        </w:tc>
      </w:tr>
      <w:tr>
        <w:trPr/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911082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历史反馈缺岗位任务字段规模未知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B1A9D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修复队列持续增长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6AAA48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先量化规模再排期，不把空值当“没问题”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F910A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秦芮</w:t>
            </w:r>
          </w:p>
        </w:tc>
      </w:tr>
    </w:tbl>
    <w:p w14:paraId="368DAC3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eaf2fb"/>
            <w:vAlign w:val="center"/>
          </w:tcPr>
          <w:p w14:paraId="2784A5A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>需要明确留白的四点：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“可执行”由谁判定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申诉入口与答复时限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审核日志可见粒度与归档保管人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刷新触发人与各平台导出频率是否对得上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。这四项在需求报告中均标记为未核实，本方案不对其做任何假设性设计。</w:t>
            </w:r>
          </w:p>
        </w:tc>
      </w:tr>
    </w:tbl>
    <w:p w14:paraId="136FDA47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19" w:name="section-8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七、结论与建议</w:t>
      </w:r>
      <w:bookmarkEnd w:id="19"/>
    </w:p>
    <w:p w14:paraId="125486A9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第一，本项目不宜以“替换实习管理系统”为路径。路线 A 在 8 周与 12 万元两个约束下都不可行，且与“不能直接关掉现有人工流程”直接冲突。</w:t>
      </w:r>
    </w:p>
    <w:p w14:paraId="170F7ADB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第二，GitHub 生态在本细分领域没有成熟可用的直接方案，这本身是重要信息：说明该问题在行业内普遍存在但尚未被产品化，自建组件抽取与可执行判定有实际价值，但也意味着没有现成的质量基线可以对齐，必须自建评测集。</w:t>
      </w:r>
    </w:p>
    <w:p w14:paraId="0FE80948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第三，建议把 </w:t>
      </w:r>
      <w:r>
        <w:rPr>
          <w:rFonts w:ascii="宋体" w:hAnsi="宋体" w:eastAsia="宋体" w:cs="宋体"/>
          <w:b w:val="1"/>
          <w:color w:val="1565c0"/>
          <w:sz w:val="24"/>
        </w:rPr>
        <w:t>70%</w:t>
      </w:r>
      <w:r>
        <w:rPr>
          <w:rFonts w:hint="eastAsia" w:ascii="宋体" w:hAnsi="宋体" w:eastAsia="宋体" w:cs="宋体"/>
          <w:color w:val="212121"/>
          <w:sz w:val="24"/>
        </w:rPr>
        <w:t xml:space="preserve"> 的实施精力放在“数据映射 + 行为实例抽取 + 可执行判定口径”三件事上，把模型能力、编排、界面都当作可替换部件。AutoSCORE 的组件抽取思路、trinethra 的草稿复核交互、LaTA 的审计与学生反馈分离、OIE-main 的量规配置与换岗审批，是本轮最值得借鉴的四个具体做法。</w:t>
      </w:r>
    </w:p>
    <w:p w14:paraId="62F8F0F8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第四，试点成功的判据不是“AI 生成了多少建议”，而是两条硬指标：专业组审阅 30 条中</w:t>
      </w:r>
      <w:r>
        <w:rPr>
          <w:rFonts w:hint="eastAsia" w:ascii="宋体" w:hAnsi="宋体" w:eastAsia="宋体" w:cs="宋体"/>
          <w:b w:val="1"/>
          <w:color w:val="c62828"/>
          <w:sz w:val="24"/>
        </w:rPr>
        <w:t>至少 24 条</w:t>
      </w:r>
      <w:r>
        <w:rPr>
          <w:rFonts w:hint="eastAsia" w:ascii="宋体" w:hAnsi="宋体" w:eastAsia="宋体" w:cs="宋体"/>
          <w:color w:val="212121"/>
          <w:sz w:val="24"/>
        </w:rPr>
        <w:t xml:space="preserve">能对应课程、任务与改进负责人；反馈完整率从 </w:t>
      </w:r>
      <w:r>
        <w:rPr>
          <w:rFonts w:hint="eastAsia" w:ascii="宋体" w:hAnsi="宋体" w:eastAsia="宋体" w:cs="宋体"/>
          <w:b w:val="1"/>
          <w:color w:val="c62828"/>
          <w:sz w:val="24"/>
        </w:rPr>
        <w:t>54% 到 85%</w:t>
      </w:r>
      <w:r>
        <w:rPr>
          <w:rFonts w:hint="eastAsia" w:ascii="宋体" w:hAnsi="宋体" w:eastAsia="宋体" w:cs="宋体"/>
          <w:color w:val="212121"/>
          <w:sz w:val="24"/>
        </w:rPr>
        <w:t>，且分母口径由业务负责人固定。未达标不扩面。</w:t>
      </w:r>
    </w:p>
    <w:p w14:paraId="1A1139AC">
      <w:pPr>
        <w:pStyle w:val="000005"/>
        <w:keepNext w:val="1"/>
        <w:keepLines w:val="1"/>
        <w:spacing w:before="360" w:beforeAutospacing="1" w:after="120" w:afterAutospacing="1" w:line="336"/>
        <w:outlineLvl w:val="1"/>
        <w:rPr>
          <w:color w:val="1565c0"/>
          <w:sz w:val="32"/>
          <w:szCs w:val="32"/>
        </w:rPr>
      </w:pPr>
      <w:bookmarkStart w:id="20" w:name="section-9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附录：案例索引与核实说明</w:t>
      </w:r>
      <w:bookmarkEnd w:id="20"/>
    </w:p>
    <w:p w14:paraId="2F611773">
      <w:pPr>
        <w:spacing w:before="0" w:after="180" w:line="384"/>
        <w:ind w:firstLine="480"/>
        <w:jc w:val="both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下表给出本报告引用的全部案例链接与核实字段，便于逐条复核；核实方法与已知局限见本节末。</w:t>
      </w:r>
    </w:p>
    <w:p w14:paraId="3936D4C7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（一）案例清单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1"/>
        <w:gridCol w:w="2907"/>
        <w:gridCol w:w="2574"/>
        <w:gridCol w:w="2242"/>
      </w:tblGrid>
      <w:tr>
        <w:trPr>
          <w:tblHeader w:val="1"/>
        </w:trPr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1746C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序号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AF7A94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仓库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3D829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链接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16C5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18"/>
              </w:rPr>
              <w:t>核实字段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F4DA2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613431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wwqking/Internship-Management-System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E91476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github.com/wwqking/Internship-Management-System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8334DA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11 / JS / 无许可证 / 2024-07-23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154CDE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2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29178F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NicolaKesla/ITS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07EDAA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github.com/NicolaKesla/ITS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CCB90B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1 / JS / 无许可证 / 2026-06-24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5AA2EE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3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64DB7F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M4CLEM/OIE-main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44E95A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github.com/M4CLEM/OIE-main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083EB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0 / JS / 无许可证 / 2025-07-08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9E30BF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4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61154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7upcharge/trinethra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A5E84B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github.com/7upcharge/trinethra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FF3DEF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0 / 无许可证 / 2026-05-13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6D3792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5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6BFDB5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AI4STEM-Education-Center/AutoSCORE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EA3E3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github.com/AI4STEM-Education-Center/AutoSCORE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887B47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3 / Python / MIT / 2026-05-26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3E7E63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6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421EDF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JesseRodriguez/LaTA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5A8BF5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github.com/JesseRodriguez/LaTA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8C6F17D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0 / Python / AGPL-3.0 / 2026-10-22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3B6053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7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C33AFB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docling-project/docling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CE8CD7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github.com/docling-project/docling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592928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69394 / Python / MIT / 2026-10-22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CF3209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8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4044E7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microsoft/markitdown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2FE177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github.com/microsoft/markitdown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3A2A14EE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191669 / Python / MIT / 2026-10-22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3128AAC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9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0AE324A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BerriAI/litellm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2EE11F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github.com/BerriAI/litellm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DE3387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61838 / Python / 自定义 / 2026-10-23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4F286C9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10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FEF5DA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confident-ai/deepeval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B7863B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github.com/confident-ai/deepeval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21F6F62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19044 / Python / Apache-2.0 / 2026-10-19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81C7F6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11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F84770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promptfoo/promptfoo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06A3453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github.com/promptfoo/promptfoo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8D702E8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26309 / TS / MIT / 2026-10-23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3EF58B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12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1005E436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langgenius/dify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20C67F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github.com/langgenius/dify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CFC617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18"/>
              </w:rPr>
              <w:t>Stars 159287 / Python / 自定义 / 2026-10-23</w:t>
            </w:r>
          </w:p>
        </w:tc>
      </w:tr>
      <w:tr>
        <w:trPr/>
        <w:tc>
          <w:tcPr>
            <w:tcW w:w="58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7616FD04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13</w:t>
            </w:r>
          </w:p>
        </w:tc>
        <w:tc>
          <w:tcPr>
            <w:tcW w:w="290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512B8AD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langchain-ai/open_deep_research</w:t>
            </w:r>
          </w:p>
        </w:tc>
        <w:tc>
          <w:tcPr>
            <w:tcW w:w="257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60F7CF7F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github.com/langchain-ai/open_deep_research</w:t>
            </w:r>
          </w:p>
        </w:tc>
        <w:tc>
          <w:tcPr>
            <w:tcW w:w="224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vAlign w:val="top"/>
          </w:tcPr>
          <w:p w14:paraId="49E3F9F0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18"/>
              </w:rPr>
              <w:t>Stars 12676 / Python / MIT / 2026-08-10</w:t>
            </w:r>
          </w:p>
        </w:tc>
      </w:tr>
    </w:tbl>
    <w:p w14:paraId="3C5AC947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（二）引用文献</w:t>
      </w:r>
    </w:p>
    <w:p w14:paraId="71E1B76B">
      <w:pPr>
        <w:spacing w:before="0" w:after="180" w:line="384"/>
        <w:ind w:firstLine="480"/>
        <w:jc w:val="both"/>
        <w:rPr>
          <w:color w:val="212121"/>
        </w:rPr>
      </w:pPr>
      <w:r>
        <w:rPr>
          <w:rFonts w:ascii="宋体" w:hAnsi="宋体" w:eastAsia="宋体" w:cs="宋体"/>
          <w:color w:val="212121"/>
          <w:sz w:val="24"/>
        </w:rPr>
        <w:t xml:space="preserve">Yun Wang, Zhaojun Ding, Xuansheng Wu, Siyue Sun, Ninghao Liu, Xiaoming Zhai. </w:t>
      </w:r>
      <w:r>
        <w:rPr>
          <w:rFonts w:ascii="宋体" w:hAnsi="宋体" w:eastAsia="宋体" w:cs="宋体"/>
          <w:i w:val="1"/>
          <w:color w:val="212121"/>
          <w:sz w:val="24"/>
        </w:rPr>
        <w:t>AutoSCORE: Enhancing Automated Scoring with Multi-Agent Large Language Models via Structured Component Recognition</w:t>
      </w:r>
      <w:r>
        <w:rPr>
          <w:rFonts w:ascii="宋体" w:hAnsi="宋体" w:eastAsia="宋体" w:cs="宋体"/>
          <w:color w:val="212121"/>
          <w:sz w:val="24"/>
        </w:rPr>
        <w:t>. AAAI/EAAI 2026. arXiv:2509.21910.</w:t>
      </w:r>
    </w:p>
    <w:p w14:paraId="257B2ED5">
      <w:pPr>
        <w:pStyle w:val="000006"/>
        <w:keepNext w:val="1"/>
        <w:keepLines w:val="1"/>
        <w:spacing w:before="240" w:beforeAutospacing="1" w:after="96" w:afterAutospacing="1" w:line="336"/>
        <w:outlineLvl w:val="2"/>
        <w:rPr>
          <w:color w:val="212121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212121"/>
          <w:sz w:val="24"/>
        </w:rPr>
        <w:t>（三）核实方法与局限</w:t>
      </w:r>
    </w:p>
    <w:p w14:paraId="39D9A0E7">
      <w:pPr>
        <w:spacing w:before="0" w:after="180" w:line="384"/>
        <w:ind w:firstLine="480"/>
        <w:jc w:val="both"/>
        <w:rPr>
          <w:color w:val="212121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212121"/>
          <w:sz w:val="24"/>
        </w:rPr>
        <w:t>所有 Stars、主语言、许可证与最近推送时间取自 GitHub REST API（repos 端点），查询日期为 2026-10-23。许可证列中的“未声明”表示仓库根目录无 LICENSE 文件，无许可证的代码默认保留全部权利，不得直接复制进生产代码。仓库 README 描述的功能未做代码级验证，本报告中的能力判断基于 README 与公开说明；若进入正式选型，应补充代码审查与安全扫描。</w:t>
      </w:r>
    </w:p>
    <w:p w14:paraId="17E184A7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C96A80E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7" w:uiPriority="9" w:semiHidden="1" w:unhideWhenUsed="1" w:qFormat="1"/>
    <w:lsdException w:name="toa heading" w:semiHidden="1" w:unhideWhenUsed="1"/>
    <w:lsdException w:name="index 4" w:semiHidden="1" w:unhideWhenUsed="1"/>
    <w:lsdException w:name="Date" w:semiHidden="1" w:unhideWhenUsed="1"/>
    <w:lsdException w:name="toc 2" w:uiPriority="39" w:semiHidden="1" w:unhideWhenUsed="1"/>
    <w:lsdException w:name="Salutation" w:semiHidden="1" w:unhideWhenUsed="1"/>
    <w:lsdException w:name="List Bullet 3" w:semiHidden="1" w:unhideWhenUsed="1"/>
    <w:lsdException w:name="table of authorities" w:semiHidden="1" w:unhideWhenUsed="1"/>
    <w:lsdException w:name="Body Text 2" w:semiHidden="1" w:unhideWhenUsed="1"/>
    <w:lsdException w:name="annotation text" w:semiHidden="1" w:unhideWhenUsed="1"/>
    <w:lsdException w:name="table of figures" w:semiHidden="1" w:unhideWhenUsed="1"/>
    <w:lsdException w:name="Body Text Indent 3" w:semiHidden="1" w:unhideWhenUsed="1"/>
    <w:lsdException w:name="line number" w:semiHidden="1" w:unhideWhenUsed="1"/>
    <w:lsdException w:name="annotation reference" w:semiHidden="1" w:unhideWhenUsed="1"/>
    <w:lsdException w:name="List Number 4" w:semiHidden="1" w:unhideWhenUsed="1"/>
    <w:lsdException w:name="List Continue 4" w:semiHidden="1" w:unhideWhenUsed="1"/>
    <w:lsdException w:name="List 2" w:semiHidden="1" w:unhideWhenUsed="1"/>
    <w:lsdException w:name="List" w:semiHidden="1" w:unhideWhenUsed="1"/>
    <w:lsdException w:name="caption" w:uiPriority="35" w:semiHidden="1" w:unhideWhenUsed="1" w:qFormat="1"/>
    <w:lsdException w:name="heading 4" w:uiPriority="9" w:semiHidden="1" w:unhideWhenUsed="1" w:qFormat="1"/>
    <w:lsdException w:name="Closing" w:semiHidden="1" w:unhideWhenUsed="1"/>
    <w:lsdException w:name="Hyperlink" w:semiHidden="1" w:unhideWhenUsed="1"/>
    <w:lsdException w:name="Body Text First Indent 2" w:semiHidden="1" w:unhideWhenUsed="1"/>
    <w:lsdException w:name="toc 5" w:uiPriority="39" w:semiHidden="1" w:unhideWhenUsed="1"/>
    <w:lsdException w:name="index 1" w:semiHidden="1" w:unhideWhenUsed="1"/>
    <w:lsdException w:name="List 5" w:semiHidden="1" w:unhideWhenUsed="1"/>
    <w:lsdException w:name="toc 7" w:uiPriority="39" w:semiHidden="1" w:unhideWhenUsed="1"/>
    <w:lsdException w:name="List Bullet" w:semiHidden="1" w:unhideWhenUsed="1"/>
    <w:lsdException w:name="heading 9" w:uiPriority="9" w:semiHidden="1" w:unhideWhenUsed="1" w:qFormat="1"/>
    <w:lsdException w:name="List Number 3" w:semiHidden="1" w:unhideWhenUsed="1"/>
    <w:lsdException w:name="Normal Indent" w:semiHidden="1" w:unhideWhenUsed="1"/>
    <w:lsdException w:name="List Bullet 2" w:semiHidden="1" w:unhideWhenUsed="1"/>
    <w:lsdException w:name="Body Text 3" w:semiHidden="1" w:unhideWhenUsed="1"/>
    <w:lsdException w:name="page number" w:semiHidden="1" w:unhideWhenUsed="1"/>
    <w:lsdException w:name="List Continue 3" w:semiHidden="1" w:unhideWhenUsed="1"/>
    <w:lsdException w:name="footnote text" w:semiHidden="1" w:unhideWhenUsed="1"/>
    <w:lsdException w:name="List Number 5" w:semiHidden="1" w:unhideWhenUsed="1"/>
    <w:lsdException w:name="List 4" w:semiHidden="1" w:unhideWhenUsed="1"/>
    <w:lsdException w:name="List Continue 5" w:semiHidden="1" w:unhideWhenUsed="1"/>
    <w:lsdException w:name="toc 6" w:uiPriority="39" w:semiHidden="1" w:unhideWhenUsed="1"/>
    <w:lsdException w:name="footer" w:semiHidden="1" w:unhideWhenUsed="1"/>
    <w:lsdException w:name="heading 8" w:uiPriority="9" w:semiHidden="1" w:unhideWhenUsed="1" w:qFormat="1"/>
    <w:lsdException w:name="Default Paragraph Font" w:uiPriority="1" w:semiHidden="1" w:unhideWhenUsed="1"/>
    <w:lsdException w:name="Body Text First Indent" w:semiHidden="1" w:unhideWhenUsed="1"/>
    <w:lsdException w:name="List Continue" w:semiHidden="1" w:unhideWhenUsed="1"/>
    <w:lsdException w:name="envelope address" w:semiHidden="1" w:unhideWhenUsed="1"/>
    <w:lsdException w:name="index 7" w:semiHidden="1" w:unhideWhenUsed="1"/>
    <w:lsdException w:name="toc 1" w:uiPriority="39" w:semiHidden="1" w:unhideWhenUsed="1"/>
    <w:lsdException w:name="index 2" w:semiHidden="1" w:unhideWhenUsed="1"/>
    <w:lsdException w:name="heading 3" w:uiPriority="9" w:semiHidden="1" w:unhideWhenUsed="1" w:qFormat="1"/>
    <w:lsdException w:name="List 3" w:semiHidden="1" w:unhideWhenUsed="1"/>
    <w:lsdException w:name="Normal" w:uiPriority="0" w:qFormat="1"/>
    <w:lsdException w:name="toc 4" w:uiPriority="39" w:semiHidden="1" w:unhideWhenUsed="1"/>
    <w:lsdException w:name="Body Text" w:semiHidden="1" w:unhideWhenUsed="1"/>
    <w:lsdException w:name="endnote text" w:semiHidden="1" w:unhideWhenUsed="1"/>
    <w:lsdException w:name="heading 6" w:uiPriority="9" w:semiHidden="1" w:unhideWhenUsed="1" w:qFormat="1"/>
    <w:lsdException w:name="index 6" w:semiHidden="1" w:unhideWhenUsed="1"/>
    <w:lsdException w:name="Body Text Indent 2" w:semiHidden="1" w:unhideWhenUsed="1"/>
    <w:lsdException w:name="index 9" w:semiHidden="1" w:unhideWhenUsed="1"/>
    <w:lsdException w:name="List Bullet 5" w:semiHidden="1" w:unhideWhenUsed="1"/>
    <w:lsdException w:name="heading 2" w:uiPriority="9" w:semiHidden="1" w:unhideWhenUsed="1" w:qFormat="1"/>
    <w:lsdException w:name="toc 9" w:uiPriority="39" w:semiHidden="1" w:unhideWhenUsed="1"/>
    <w:lsdException w:name="Signature" w:semiHidden="1" w:unhideWhenUsed="1"/>
    <w:lsdException w:name="heading 1" w:uiPriority="9" w:qFormat="1"/>
    <w:lsdException w:name="Message Header" w:semiHidden="1" w:unhideWhenUsed="1"/>
    <w:lsdException w:name="Strong" w:uiPriority="22" w:qFormat="1"/>
    <w:lsdException w:name="List Number 2" w:semiHidden="1" w:unhideWhenUsed="1"/>
    <w:lsdException w:name="FollowedHyperlink" w:semiHidden="1" w:unhideWhenUsed="1"/>
    <w:lsdException w:name="List Number" w:semiHidden="1" w:unhideWhenUsed="1"/>
    <w:lsdException w:name="List Continue 2" w:semiHidden="1" w:unhideWhenUsed="1"/>
    <w:lsdException w:name="Title" w:uiPriority="10" w:qFormat="1"/>
    <w:lsdException w:name="index 3" w:semiHidden="1" w:unhideWhenUsed="1"/>
    <w:lsdException w:name="endnote reference" w:semiHidden="1" w:unhideWhenUsed="1"/>
    <w:lsdException w:name="index 8" w:semiHidden="1" w:unhideWhenUsed="1"/>
    <w:lsdException w:name="envelope return" w:semiHidden="1" w:unhideWhenUsed="1"/>
    <w:lsdException w:name="Body Text Indent" w:semiHidden="1" w:unhideWhenUsed="1"/>
    <w:lsdException w:name="footnote reference" w:semiHidden="1" w:unhideWhenUsed="1"/>
    <w:lsdException w:name="toc 8" w:uiPriority="39" w:semiHidden="1" w:unhideWhenUsed="1"/>
    <w:lsdException w:name="List Bullet 4" w:semiHidden="1" w:unhideWhenUsed="1"/>
    <w:lsdException w:name="macro" w:semiHidden="1" w:unhideWhenUsed="1"/>
    <w:lsdException w:name="Subtitle" w:uiPriority="11" w:qFormat="1"/>
    <w:lsdException w:name="header" w:semiHidden="1" w:unhideWhenUsed="1"/>
    <w:lsdException w:name="Block Text" w:semiHidden="1" w:unhideWhenUsed="1"/>
    <w:lsdException w:name="index 5" w:semiHidden="1" w:unhideWhenUsed="1"/>
    <w:lsdException w:name="toc 3" w:uiPriority="39" w:semiHidden="1" w:unhideWhenUsed="1"/>
    <w:lsdException w:name="heading 5" w:uiPriority="9" w:semiHidden="1" w:unhideWhenUsed="1" w:qFormat="1"/>
    <w:lsdException w:name="Note Heading" w:semiHidden="1" w:unhideWhenUsed="1"/>
    <w:lsdException w:name="index heading" w:semiHidden="1" w:unhideWhenUsed="1"/>
  </w:latentStyles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2026-10-23T09:46:38Z</dcterms:created>
  <dcterms:modified xsi:type="dcterms:W3CDTF">2026-10-23T09:46:38Z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"01a16663d00470b7b790fa8ab685d66d", "ReservedCode1": "", "ContentPropagator": "00119111010856365494821B355", "PropagateID": "01a16663d00470b7b790fa8ab685d66d", "ReservedCode2": ""}}</vt:lpwstr>
  </property>
</Properties>
</file>