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pBdr>
          <w:top w:space="48"/>
        </w:pBdr>
        <w:spacing w:line="432"/>
        <w:jc w:val="center"/>
        <w:rPr>
          <w:color w:val="1565c0"/>
        </w:rPr>
      </w:pPr>
      <w:r>
        <w:rPr>
          <w:rFonts w:ascii="Microsoft YaHei" w:hAnsi="Microsoft YaHei" w:eastAsia="Microsoft YaHei" w:cs="Microsoft YaHei"/>
          <w:color w:val="1565c0"/>
          <w:spacing w:val="90"/>
          <w:sz w:val="21"/>
        </w:rPr>
        <w:t>Q U O T A T I O N</w:t>
      </w:r>
    </w:p>
    <w:p w14:paraId="218005DE">
      <w:pPr>
        <w:pBdr>
          <w:top w:space="48"/>
        </w:pBdr>
        <w:spacing w:line="336"/>
        <w:jc w:val="center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实习反馈 AI 数智化试点报价单</w:t>
      </w:r>
    </w:p>
    <w:p w14:paraId="06965398">
      <w:pPr>
        <w:pBdr>
          <w:top w:space="48"/>
        </w:pBdr>
        <w:spacing w:line="432"/>
        <w:jc w:val="center"/>
        <w:rPr>
          <w:color w:val="1b2430"/>
        </w:rPr>
      </w:pPr>
      <w:r>
        <w:rPr>
          <w:rFonts w:hint="eastAsia" w:ascii="Microsoft YaHei" w:hAnsi="Microsoft YaHei" w:eastAsia="Microsoft YaHei" w:cs="Microsoft YaHei"/>
          <w:color w:val="1b2430"/>
          <w:sz w:val="28"/>
        </w:rPr>
        <w:t>知行职业学院 · 机电专业 5 家企业（历史回放 + 并行试点）</w:t>
      </w:r>
    </w:p>
    <w:p w14:paraId="2F493DFF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报价对象：知行职业学院（采购人：顾明岚 / 产教融合负责人）</w:t>
      </w:r>
    </w:p>
    <w:p w14:paraId="1BF3C73C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报价日期：2026-10-23　|　报价有效期：30 天</w:t>
      </w:r>
    </w:p>
    <w:p w14:paraId="4292465B">
      <w:pPr>
        <w:pBdr>
          <w:top w:space="48"/>
        </w:pBdr>
        <w:spacing w:before="640" w:after="640" w:line="432"/>
        <w:ind w:left="640" w:right="640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40"/>
        </w:rPr>
        <w:t>报价总额：￥120,000</w:t>
      </w:r>
    </w:p>
    <w:p w14:paraId="4D2F8509">
      <w:pPr>
        <w:pBdr>
          <w:top w:space="48"/>
        </w:pBdr>
        <w:spacing w:line="432"/>
        <w:jc w:val="center"/>
        <w:rPr>
          <w:color w:val="5a647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474"/>
          <w:sz w:val="24"/>
        </w:rPr>
        <w:t>基础费用 ￥108,000　+　效果浮动金 ￥12,000</w:t>
      </w:r>
    </w:p>
    <w:p w14:paraId="2780129B">
      <w:pPr>
        <w:spacing w:before="240" w:after="120"/>
      </w:pPr>
      <w:r>
        <w:rPr>
          <w:rFonts w:hint="eastAsia"/>
          <w:b w:val="1"/>
        </w:rPr>
        <w:t>目录</w:t>
      </w:r>
    </w:p>
    <w:p w14:paraId="0A5C87F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一、报价总览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491BF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二、九个成本科目明细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CAC7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三、效果浮动金支付条款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DB7BC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四、报价方式选择说明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E477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E7C3B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六、报价边界与不包含项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2BFFC1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624A4BC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一、报价总览</w:t>
      </w:r>
      <w:bookmarkEnd w:id="1"/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90AE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C90D55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金额（元）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D895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5B764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基础费用（固定范围交付）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4B0ED8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108,000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79E83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覆盖第一至九科目的人天与一次性投入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0D43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效果浮动金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FF103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12,000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E812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挂钩两项验收硬指标，达标全额支付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580B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报价总额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03B4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120,000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2829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与试点预算口径一致（education-f03）</w:t>
            </w:r>
          </w:p>
        </w:tc>
      </w:tr>
    </w:tbl>
    <w:p w14:paraId="5081C07A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本次合成试点预算为 12 万元，需扣除接口、培训、复核和维护成本；既有系统采购不纳入节省额【education-f03】。本报价总额即按 120,000 元封顶设计，不突破预算。</w:t>
      </w:r>
    </w:p>
    <w:p w14:paraId="1CECD309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二、九个成本科目明细</w:t>
      </w:r>
      <w:bookmarkEnd w:id="2"/>
    </w:p>
    <w:p w14:paraId="392BD563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报价单上只写"开发 XX 人天"，是因为九个科目里只有一个被看见。下表把九个科目全部摆到桌面上，价格才有得谈。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"/>
        <w:gridCol w:w="1328"/>
        <w:gridCol w:w="3405"/>
        <w:gridCol w:w="913"/>
        <w:gridCol w:w="996"/>
        <w:gridCol w:w="1245"/>
      </w:tblGrid>
      <w:tr>
        <w:trPr>
          <w:tblHeader w:val="1"/>
        </w:trPr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04E2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21"/>
              </w:rPr>
              <w:t>#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CAFF1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成本科目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F5B78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工作内容（本项目对应）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60784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数量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6E3F13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单价（元）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F600FE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小计（元）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05921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01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F601D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售前与机会成本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7B5BE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标书、方案、驻场调研、POC 演示；由供应商自行吸收，不计入本单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A44BE7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00F33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52370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492B38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02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5608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诊断与场景梳理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5ABFF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理解"建议为何落不到课程"，识别真 AI 可落地性；对应现状流程诊断与历史回放范围界定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2AF54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8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33E42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A882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12,800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4C192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03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C9F90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方案与架构设计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059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技术选型、数据流设计、评测集（Golden Set）设计、安全与权限架构；对应 To-Be 流程 17 步设计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83F9E1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10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00A67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1,800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595608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18,000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9808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04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DD161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数据与知识资产建设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22B9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清洗、结构化、标注、权限梳理、检索切分：评语"岗位任务 + 行为实例"结构化模板、三平台 ID 映射表、历史反馈补齐模板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F2181A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14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1F88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253CF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22,400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58C228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05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270DD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集成与工程实施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B069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对接学籍 / 实习 / 课程三平台只读批量导出接口、私有化部署适配；对应多源自动收拢与批次映射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D0E3D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12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A5058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1,600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4299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19,200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E206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06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7F8F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评测与安全合规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5598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幻觉测试、越权与注入测试、审计留痕、数据分级、统计与存证口径；对应 5 道人工闸门与隐私要求（f40–f45）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25E488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8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AC6F32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1,800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F4F3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14,400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707EA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07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F5E5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推理与模型调用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D431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推理 Token、私有化算力、向量库、第三方 API（OCR / 向量检索）；按半年用量预估，可随策略与规模波动，必须单列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3CEC27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半年用量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09AE6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0FF95C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77414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08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0089C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部署上线与培训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4E616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生产环境部署、用户培训、操作手册、应急演练；现场使用现有终端、不额外配设备（f13），培训贴合现有操作习惯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EF9EF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6 人天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97495B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1,500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EF4934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9,000</w:t>
            </w:r>
          </w:p>
        </w:tc>
      </w:tr>
      <w:tr>
        <w:trPr/>
        <w:tc>
          <w:tcPr>
            <w:tcW w:w="41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730C4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09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FD58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运维与持续优化</w:t>
            </w:r>
          </w:p>
        </w:tc>
        <w:tc>
          <w:tcPr>
            <w:tcW w:w="340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EF8E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监控、模型与 Prompt 迭代、故障响应；对应双周刷新（f34）、接口失败兜底（f35）、每周复盘（f55）</w:t>
            </w:r>
          </w:p>
        </w:tc>
        <w:tc>
          <w:tcPr>
            <w:tcW w:w="91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F776B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 个月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64FDE">
            <w:pPr>
              <w:jc w:val="righ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3,000 / 月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BEC44B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9,000</w:t>
            </w:r>
          </w:p>
        </w:tc>
      </w:tr>
      <w:tr>
        <w:trPr/>
        <w:tc>
          <w:tcPr>
            <w:tcW w:w="6061" w:type="dxa"/>
            <w:gridSpan w:val="4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818ED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小计</w:t>
            </w:r>
          </w:p>
        </w:tc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7DE8F7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—</w:t>
            </w:r>
          </w:p>
        </w:tc>
        <w:tc>
          <w:tcPr>
            <w:tcW w:w="124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53063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110,800</w:t>
            </w:r>
          </w:p>
        </w:tc>
      </w:tr>
    </w:tbl>
    <w:p w14:paraId="76F2C087">
      <w:pPr>
        <w:pStyle w:val="000005"/>
        <w:keepNext w:val="1"/>
        <w:keepLines w:val="1"/>
        <w:spacing w:before="240" w:beforeAutospacing="1" w:after="240" w:afterAutospacing="1"/>
        <w:ind w:left="240" w:right="240"/>
        <w:jc w:val="left"/>
        <w:outlineLvl w:val="2"/>
        <w:rPr>
          <w:color w:val="1b243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b2430"/>
          <w:sz w:val="24"/>
        </w:rPr>
        <w:t>九科目之外的三层附加（原价里被略去的部分）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1D523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71C07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643EE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金额（元）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E735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① 公司管理分摊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2D55C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销售、行政、房租、设备，按 5% 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95FE3C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5,520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8096A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② 风险准备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A5C0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需求变更、兼容性、验收争议准备金，按 3.7% 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9F49A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4,080</w:t>
            </w:r>
          </w:p>
        </w:tc>
      </w:tr>
      <w:tr>
        <w:trPr/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4E4D2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③ 利润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FF9D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试点项目让利，本期计 0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F7B94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</w:t>
            </w:r>
          </w:p>
        </w:tc>
      </w:tr>
      <w:tr>
        <w:trPr/>
        <w:tc>
          <w:tcPr>
            <w:tcW w:w="5536" w:type="dxa"/>
            <w:gridSpan w:val="2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ECAB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三层合计</w:t>
            </w:r>
          </w:p>
        </w:tc>
        <w:tc>
          <w:tcPr>
            <w:tcW w:w="276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164AD0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b w:val="1"/>
                <w:color w:val="1b2430"/>
                <w:sz w:val="21"/>
              </w:rPr>
              <w:t>9,600</w:t>
            </w:r>
          </w:p>
        </w:tc>
      </w:tr>
    </w:tbl>
    <w:p w14:paraId="3801F3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5B66D65A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第一层（公司管理分摊）往往藏在报价上限与"开发"二字里——等于这三层你自己补齐了。本单将其显式列出。</w:t>
            </w:r>
          </w:p>
        </w:tc>
      </w:tr>
    </w:tbl>
    <w:p w14:paraId="21DC0E45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三、效果浮动金支付条款</w:t>
      </w:r>
      <w:bookmarkEnd w:id="3"/>
    </w:p>
    <w:p w14:paraId="3592B51F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浮动金 12,000 元与以下两项验收硬指标挂钩（均为访谈确认的既有验收口径，非本单新增）：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CAC11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ED711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目标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B1F42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事实依据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41BB8">
            <w:pPr>
              <w:jc w:val="righ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达成支付（元）</w:t>
            </w:r>
          </w:p>
        </w:tc>
      </w:tr>
      <w:tr>
        <w:trPr/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F71BB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反馈完整率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80E03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由 54% 提升至 ≥85%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B97D9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education-f00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8856E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  <w:tr>
        <w:trPr/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BFC8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建议可执行率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6ACD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专业组审阅 30 条建议，≥24 条可对应课程、任务和改进负责人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F49CB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education-f42</w:t>
            </w:r>
          </w:p>
        </w:tc>
        <w:tc>
          <w:tcPr>
            <w:tcW w:w="207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65397F">
            <w:pPr>
              <w:jc w:val="righ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6,000</w:t>
            </w:r>
          </w:p>
        </w:tc>
      </w:tr>
    </w:tbl>
    <w:p w14:paraId="1C5982A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e6b4f" w:sz="18"/>
              <w:bottom w:val="none" w:sz="8"/>
              <w:right w:val="none" w:sz="8"/>
            </w:tcBorders>
            <w:shd w:val="clear" w:fill="eef7f2"/>
            <w:vAlign w:val="center"/>
          </w:tcPr>
          <w:p w14:paraId="54CB8D0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支付规则：两项均达标，浮动金全额支付；单项达标，按项支付对应金额；均未达标，浮动金不支付，基础费用不受影响。判定口径：分母、统计周期和排除规则由业务负责人固定，不用消息发送量代替实际完成量（education-f53）。</w:t>
            </w:r>
          </w:p>
        </w:tc>
      </w:tr>
    </w:tbl>
    <w:p w14:paraId="7D387C69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四、报价方式选择说明</w:t>
      </w:r>
      <w:bookmarkEnd w:id="4"/>
    </w:p>
    <w:p w14:paraId="3E4BF68C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市场上有六种报价方式。判断标准只有一条：客户能不能用这个价，算出自己赚了多少。算不出来的计价方式（尤其是人天），在 AI 时代必然被压价。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162"/>
        <w:gridCol w:w="5483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83568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计价方式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A246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是否采用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E577A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理由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D1F2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人天 T&amp;M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A6D77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5042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客户对 AI 比价时最无力，2026 趋势"雪崩与衰亡"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9292F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功能点 / 规模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0C40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474A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需清晰标准支撑，本项目范围以流程与验收口径定义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87A7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固定价 / 整包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80C1D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部分采用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EACA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基础费用部分采用固定范围价，范围基线见第二节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A3F9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订阅 / 年费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4303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C55E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试点期 90 天数据留存（f43），不适用长周期订阅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5FDA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用量计费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E568B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部分采用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6AA6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仅第 07 科目按用量预估并单列，可随策略与规模波动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9A41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效果付费 / 分成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80D97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核心参照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6FA75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基线钱稳、归因清楚、客户控制变量——与学院"完整率 85%、24/30 可执行"两条验收硬线天然对齐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EE07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基础费用 + 效果浮动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185A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b w:val="1"/>
                <w:color w:val="1b2430"/>
                <w:sz w:val="21"/>
              </w:rPr>
              <w:t>本单采用</w:t>
            </w:r>
          </w:p>
        </w:tc>
        <w:tc>
          <w:tcPr>
            <w:tcW w:w="548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AE3E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几乎所有 AI 落地项目的默认杆位，需事前把公式写死、否则事后全靠谈</w:t>
            </w:r>
          </w:p>
        </w:tc>
      </w:tr>
    </w:tbl>
    <w:p w14:paraId="59C8532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54817938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政策侧印证：2026 年多部委已明确在采购需求中将 Token 等能力采购、AI 效果采购列为例行句式；414 号文要求三部门按用量计费模式开展采购试点。以效果计价已是政策与市场的双向趋势。</w:t>
            </w:r>
          </w:p>
        </w:tc>
      </w:tr>
    </w:tbl>
    <w:p w14:paraId="186478DB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五、交付物清单</w:t>
      </w:r>
      <w:bookmarkEnd w:id="5"/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649"/>
        <w:gridCol w:w="1495"/>
      </w:tblGrid>
      <w:tr>
        <w:trPr>
          <w:tblHeader w:val="1"/>
        </w:trPr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57DA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阶段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4E036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交付物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CEBA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对应科目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6921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诊断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A91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现状流程 As-Is 图、痛点诊断报告（时间 / 成本 / 人工闸门 / 隐私）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120D3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02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528C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设计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D6791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To-Be 流程图（17 步 / 5 道人工闸门）、评测集与权限方案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A098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03、06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4510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建设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016BF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评语结构化模板、三平台 ID 映射、多源收拢与建议起草服务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57B4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04、05、07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8C2C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上线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DCA99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生产环境、操作手册、培训记录（现有终端可用）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84C97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08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D5F61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运维</w:t>
            </w:r>
          </w:p>
        </w:tc>
        <w:tc>
          <w:tcPr>
            <w:tcW w:w="564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DBCFA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双周刷新、兜底快照、每周复盘与规则更新记录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34F6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09</w:t>
            </w:r>
          </w:p>
        </w:tc>
      </w:tr>
    </w:tbl>
    <w:p w14:paraId="75CDF14E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六、报价边界与不包含项</w:t>
      </w:r>
      <w:bookmarkEnd w:id="6"/>
    </w:p>
    <w:p w14:paraId="2C2DA39D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成绩写回接口不在范围（接口侧仅开放只读批量导出，education-f32）。</w:t>
      </w:r>
    </w:p>
    <w:p w14:paraId="592F5750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变更培养方案的审批走教务委员会，模型不能决定学生成绩（education-f22）——本报价不含任何替代人工签核的模块。</w:t>
      </w:r>
    </w:p>
    <w:p w14:paraId="4D659903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既有系统采购不纳入节省额（education-f03）。</w:t>
      </w:r>
    </w:p>
    <w:p w14:paraId="22F8D81F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评价记录试点期留存 90 天，到期删除或归档由教学质量负责人确认（education-f43）；真实组织的留存期限需另行核实，如需延长留存另行报价。</w:t>
      </w:r>
    </w:p>
    <w:p w14:paraId="26ACAF29">
      <w:pPr>
        <w:spacing w:before="400" w:after="400" w:line="432"/>
        <w:ind w:left="400" w:right="400"/>
        <w:jc w:val="left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供应商：＿＿＿＿＿＿＿＿　报价人：＿＿＿＿＿＿　日期：2026-10-23</w:t>
      </w:r>
    </w:p>
    <w:p w14:paraId="159F0263">
      <w:pPr>
        <w:spacing w:before="400" w:after="400" w:line="432"/>
        <w:ind w:left="400" w:right="400"/>
        <w:jc w:val="left"/>
        <w:rPr>
          <w:color w:val="1b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b2430"/>
          <w:sz w:val="24"/>
        </w:rPr>
        <w:t>采购人确认：＿＿＿＿＿＿（顾明岚 / 产教融合负责人）　日期：＿＿＿＿＿＿</w:t>
      </w:r>
    </w:p>
    <w:p w14:paraId="33D82264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1FDDB8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2" w:semiHidden="1" w:unhideWhenUsed="1"/>
    <w:lsdException w:name="List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List Bullet 3" w:semiHidden="1" w:unhideWhenUsed="1"/>
    <w:lsdException w:name="List 3" w:semiHidden="1" w:unhideWhenUsed="1"/>
    <w:lsdException w:name="page number" w:semiHidden="1" w:unhideWhenUsed="1"/>
    <w:lsdException w:name="List Bullet" w:semiHidden="1" w:unhideWhenUsed="1"/>
    <w:lsdException w:name="index 2" w:semiHidden="1" w:unhideWhenUsed="1"/>
    <w:lsdException w:name="index 1" w:semiHidden="1" w:unhideWhenUsed="1"/>
    <w:lsdException w:name="index 9" w:semiHidden="1" w:unhideWhenUsed="1"/>
    <w:lsdException w:name="heading 2" w:uiPriority="9" w:semiHidden="1" w:unhideWhenUsed="1" w:qFormat="1"/>
    <w:lsdException w:name="Body Text First Indent 2" w:semiHidden="1" w:unhideWhenUsed="1"/>
    <w:lsdException w:name="toc 8" w:uiPriority="39" w:semiHidden="1" w:unhideWhenUsed="1"/>
    <w:lsdException w:name="toc 3" w:uiPriority="39" w:semiHidden="1" w:unhideWhenUsed="1"/>
    <w:lsdException w:name="Body Text" w:semiHidden="1" w:unhideWhenUsed="1"/>
    <w:lsdException w:name="List Number 2" w:semiHidden="1" w:unhideWhenUsed="1"/>
    <w:lsdException w:name="endnote reference" w:semiHidden="1" w:unhideWhenUsed="1"/>
    <w:lsdException w:name="endnote text" w:semiHidden="1" w:unhideWhenUsed="1"/>
    <w:lsdException w:name="List Continue 3" w:semiHidden="1" w:unhideWhenUsed="1"/>
    <w:lsdException w:name="header" w:semiHidden="1" w:unhideWhenUsed="1"/>
    <w:lsdException w:name="index 6" w:semiHidden="1" w:unhideWhenUsed="1"/>
    <w:lsdException w:name="heading 7" w:uiPriority="9" w:semiHidden="1" w:unhideWhenUsed="1" w:qFormat="1"/>
    <w:lsdException w:name="toc 4" w:uiPriority="39" w:semiHidden="1" w:unhideWhenUsed="1"/>
    <w:lsdException w:name="footnote reference" w:semiHidden="1" w:unhideWhenUsed="1"/>
    <w:lsdException w:name="toc 5" w:uiPriority="39" w:semiHidden="1" w:unhideWhenUsed="1"/>
    <w:lsdException w:name="List Number" w:semiHidden="1" w:unhideWhenUsed="1"/>
    <w:lsdException w:name="Normal Indent" w:semiHidden="1" w:unhideWhenUsed="1"/>
    <w:lsdException w:name="Strong" w:uiPriority="22" w:qFormat="1"/>
    <w:lsdException w:name="Block Text" w:semiHidden="1" w:unhideWhenUsed="1"/>
    <w:lsdException w:name="List Continue" w:semiHidden="1" w:unhideWhenUsed="1"/>
    <w:lsdException w:name="Body Text Indent 2" w:semiHidden="1" w:unhideWhenUsed="1"/>
    <w:lsdException w:name="List Number 5" w:semiHidden="1" w:unhideWhenUsed="1"/>
    <w:lsdException w:name="List Bullet 4" w:semiHidden="1" w:unhideWhenUsed="1"/>
    <w:lsdException w:name="FollowedHyperlink" w:semiHidden="1" w:unhideWhenUsed="1"/>
    <w:lsdException w:name="index 3" w:semiHidden="1" w:unhideWhenUsed="1"/>
    <w:lsdException w:name="index 4" w:semiHidden="1" w:unhideWhenUsed="1"/>
    <w:lsdException w:name="heading 8" w:uiPriority="9" w:semiHidden="1" w:unhideWhenUsed="1" w:qFormat="1"/>
    <w:lsdException w:name="Message Header" w:semiHidden="1" w:unhideWhenUsed="1"/>
    <w:lsdException w:name="Normal" w:uiPriority="0" w:qFormat="1"/>
    <w:lsdException w:name="heading 3" w:uiPriority="9" w:semiHidden="1" w:unhideWhenUsed="1" w:qFormat="1"/>
    <w:lsdException w:name="envelope address" w:semiHidden="1" w:unhideWhenUsed="1"/>
    <w:lsdException w:name="toc 9" w:uiPriority="39" w:semiHidden="1" w:unhideWhenUsed="1"/>
    <w:lsdException w:name="toc 6" w:uiPriority="39" w:semiHidden="1" w:unhideWhenUsed="1"/>
    <w:lsdException w:name="toc 1" w:uiPriority="39" w:semiHidden="1" w:unhideWhenUsed="1"/>
    <w:lsdException w:name="toa heading" w:semiHidden="1" w:unhideWhenUsed="1"/>
    <w:lsdException w:name="footer" w:semiHidden="1" w:unhideWhenUsed="1"/>
    <w:lsdException w:name="List 4" w:semiHidden="1" w:unhideWhenUsed="1"/>
    <w:lsdException w:name="Closing" w:semiHidden="1" w:unhideWhenUsed="1"/>
    <w:lsdException w:name="List 2" w:semiHidden="1" w:unhideWhenUsed="1"/>
    <w:lsdException w:name="annotation text" w:semiHidden="1" w:unhideWhenUsed="1"/>
    <w:lsdException w:name="line number" w:semiHidden="1" w:unhideWhenUsed="1"/>
    <w:lsdException w:name="List 5" w:semiHidden="1" w:unhideWhenUsed="1"/>
    <w:lsdException w:name="Hyperlink" w:semiHidden="1" w:unhideWhenUsed="1"/>
    <w:lsdException w:name="Subtitle" w:uiPriority="11" w:qFormat="1"/>
    <w:lsdException w:name="Date" w:semiHidden="1" w:unhideWhenUsed="1"/>
    <w:lsdException w:name="List Continue 2" w:semiHidden="1" w:unhideWhenUsed="1"/>
    <w:lsdException w:name="index 7" w:semiHidden="1" w:unhideWhenUsed="1"/>
    <w:lsdException w:name="table of authorities" w:semiHidden="1" w:unhideWhenUsed="1"/>
    <w:lsdException w:name="Default Paragraph Font" w:uiPriority="1" w:semiHidden="1" w:unhideWhenUsed="1"/>
    <w:lsdException w:name="Body Text Indent" w:semiHidden="1" w:unhideWhenUsed="1"/>
    <w:lsdException w:name="index 8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toc 2" w:uiPriority="39" w:semiHidden="1" w:unhideWhenUsed="1"/>
    <w:lsdException w:name="Title" w:uiPriority="10" w:qFormat="1"/>
    <w:lsdException w:name="Note Heading" w:semiHidden="1" w:unhideWhenUsed="1"/>
    <w:lsdException w:name="Body Text First Indent" w:semiHidden="1" w:unhideWhenUsed="1"/>
    <w:lsdException w:name="Signature" w:semiHidden="1" w:unhideWhenUsed="1"/>
    <w:lsdException w:name="Body Text Indent 3" w:semiHidden="1" w:unhideWhenUsed="1"/>
    <w:lsdException w:name="Body Text 3" w:semiHidden="1" w:unhideWhenUsed="1"/>
    <w:lsdException w:name="List Number 4" w:semiHidden="1" w:unhideWhenUsed="1"/>
    <w:lsdException w:name="List Bullet 5" w:semiHidden="1" w:unhideWhenUsed="1"/>
    <w:lsdException w:name="Body Text 2" w:semiHidden="1" w:unhideWhenUsed="1"/>
    <w:lsdException w:name="List Number 3" w:semiHidden="1" w:unhideWhenUsed="1"/>
    <w:lsdException w:name="envelope return" w:semiHidden="1" w:unhideWhenUsed="1"/>
    <w:lsdException w:name="Salutation" w:semiHidden="1" w:unhideWhenUsed="1"/>
    <w:lsdException w:name="List Continue 5" w:semiHidden="1" w:unhideWhenUsed="1"/>
    <w:lsdException w:name="annotation reference" w:semiHidden="1" w:unhideWhenUsed="1"/>
    <w:lsdException w:name="List Continue 4" w:semiHidden="1" w:unhideWhenUsed="1"/>
    <w:lsdException w:name="index 5" w:semiHidden="1" w:unhideWhenUsed="1"/>
    <w:lsdException w:name="heading 9" w:uiPriority="9" w:semiHidden="1" w:unhideWhenUsed="1" w:qFormat="1"/>
    <w:lsdException w:name="heading 6" w:uiPriority="9" w:semiHidden="1" w:unhideWhenUsed="1" w:qFormat="1"/>
    <w:lsdException w:name="heading 1" w:uiPriority="9" w:qFormat="1"/>
    <w:lsdException w:name="toc 7" w:uiPriority="39" w:semiHidden="1" w:unhideWhenUsed="1"/>
    <w:lsdException w:name="footnote text" w:semiHidden="1" w:unhideWhenUsed="1"/>
    <w:lsdException w:name="macro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2026-10-23T11:00:41Z</dcterms:created>
  <dcterms:modified xsi:type="dcterms:W3CDTF">2026-10-23T11:00:41Z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"01a166b113e77a3a8bfa084c381357ea", "ReservedCode1": "", "ContentPropagator": "00119111010856365494821B355", "PropagateID": "01a166b113e77a3a8bfa084c381357ea", "ReservedCode2": ""}}</vt:lpwstr>
  </property>
</Properties>
</file>