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B3EFF">
      <w:pPr>
        <w:pStyle w:val="2"/>
        <w:keepNext w:val="0"/>
        <w:keepLines w:val="0"/>
        <w:widowControl/>
        <w:suppressLineNumbers w:val="0"/>
        <w:jc w:val="both"/>
      </w:pPr>
    </w:p>
    <w:p w14:paraId="15DD40CD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书名：</w:t>
      </w:r>
      <w:r>
        <w:t>《内源性微塑料与纳米塑料（iMNPs）：毒理机制与健康影响》</w:t>
      </w:r>
    </w:p>
    <w:p w14:paraId="772ED2B4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eastAsia"/>
          <w:lang w:val="en-US" w:eastAsia="zh-CN"/>
        </w:rPr>
        <w:t>总体</w:t>
      </w:r>
      <w:r>
        <w:rPr>
          <w:rStyle w:val="7"/>
        </w:rPr>
        <w:t>要求：</w:t>
      </w:r>
      <w:r>
        <w:br w:type="textWrapping"/>
      </w:r>
      <w:r>
        <w:t xml:space="preserve">每一章节应包含 </w:t>
      </w:r>
      <w:r>
        <w:rPr>
          <w:rStyle w:val="7"/>
        </w:rPr>
        <w:t>3–5 幅图（Figures）和 2–4 个表格（Tables）</w:t>
      </w:r>
      <w:r>
        <w:t>。此外，本书的写作重点聚焦于</w:t>
      </w:r>
      <w:r>
        <w:rPr>
          <w:rStyle w:val="7"/>
        </w:rPr>
        <w:t>体内微塑料与纳米塑料（iMNPs）</w:t>
      </w:r>
      <w:r>
        <w:t>，内容不得偏离该主题。</w:t>
      </w:r>
    </w:p>
    <w:p w14:paraId="25A8140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0BDBD">
      <w:pPr>
        <w:pStyle w:val="4"/>
        <w:keepNext w:val="0"/>
        <w:keepLines w:val="0"/>
        <w:widowControl/>
        <w:suppressLineNumbers w:val="0"/>
      </w:pPr>
      <w:r>
        <w:t>你所撰写的部分为：</w:t>
      </w:r>
    </w:p>
    <w:p w14:paraId="4B7CFB8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第三部分：生物系统中的检测与追踪（Detection and Tracking in Biological Systems）</w:t>
      </w:r>
      <w:r>
        <w:br w:type="textWrapping"/>
      </w:r>
      <w:r>
        <w:rPr>
          <w:rFonts w:hint="eastAsia"/>
          <w:lang w:val="en-US" w:eastAsia="zh-CN"/>
        </w:rPr>
        <w:t>中的</w:t>
      </w:r>
      <w:r>
        <w:rPr>
          <w:rStyle w:val="7"/>
        </w:rPr>
        <w:t>第8章：识别与追踪工具（Identification and Tracking Tools）</w:t>
      </w:r>
    </w:p>
    <w:p w14:paraId="30AAF318">
      <w:pPr>
        <w:pStyle w:val="4"/>
        <w:keepNext w:val="0"/>
        <w:keepLines w:val="0"/>
        <w:widowControl/>
        <w:suppressLineNumbers w:val="0"/>
      </w:pPr>
      <w:r>
        <w:t>主要内容包括：</w:t>
      </w:r>
    </w:p>
    <w:p w14:paraId="5C1BD6BE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1.</w:t>
      </w:r>
      <w:r>
        <w:t>构建用于 iMNP 检测的</w:t>
      </w:r>
      <w:r>
        <w:rPr>
          <w:rStyle w:val="7"/>
        </w:rPr>
        <w:t>分子特征（molecular signatures）</w:t>
      </w:r>
    </w:p>
    <w:p w14:paraId="00D844B4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</w:t>
      </w:r>
      <w:r>
        <w:t>建立适用于人类与动物研究的</w:t>
      </w:r>
      <w:r>
        <w:rPr>
          <w:rStyle w:val="7"/>
        </w:rPr>
        <w:t>参考数据库（reference databases）</w:t>
      </w:r>
    </w:p>
    <w:p w14:paraId="37CCF7DE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3.</w:t>
      </w:r>
      <w:r>
        <w:t>绘制 iMNP 在体内的</w:t>
      </w:r>
      <w:r>
        <w:rPr>
          <w:rStyle w:val="7"/>
        </w:rPr>
        <w:t>分布模式（distribution patterns）</w:t>
      </w:r>
      <w:r>
        <w:t>：包括其在体内的迁移路径及跨越生物屏障的过程</w:t>
      </w:r>
    </w:p>
    <w:p w14:paraId="348BF6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AD9F6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1994C">
      <w:pPr>
        <w:pStyle w:val="2"/>
        <w:keepNext w:val="0"/>
        <w:keepLines w:val="0"/>
        <w:widowControl/>
        <w:suppressLineNumbers w:val="0"/>
      </w:pPr>
      <w:r>
        <w:t>写作指南</w:t>
      </w:r>
    </w:p>
    <w:p w14:paraId="16E6D93C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1.</w:t>
      </w:r>
      <w:r>
        <w:t>分子指纹识别（Molecular fingerprinting）</w:t>
      </w:r>
    </w:p>
    <w:p w14:paraId="35DE3D67">
      <w:pPr>
        <w:pStyle w:val="4"/>
        <w:keepNext w:val="0"/>
        <w:keepLines w:val="0"/>
        <w:widowControl/>
        <w:suppressLineNumbers w:val="0"/>
      </w:pPr>
      <w:r>
        <w:t>光谱数据库（spectral libraries）</w:t>
      </w:r>
    </w:p>
    <w:p w14:paraId="636D9A1B">
      <w:pPr>
        <w:pStyle w:val="4"/>
        <w:keepNext w:val="0"/>
        <w:keepLines w:val="0"/>
        <w:widowControl/>
        <w:suppressLineNumbers w:val="0"/>
      </w:pPr>
      <w:r>
        <w:t>聚合物添加剂作为示踪物（polymer additives as tracers）</w:t>
      </w:r>
    </w:p>
    <w:p w14:paraId="619C59CA">
      <w:pPr>
        <w:pStyle w:val="4"/>
        <w:keepNext w:val="0"/>
        <w:keepLines w:val="0"/>
        <w:widowControl/>
        <w:suppressLineNumbers w:val="0"/>
      </w:pPr>
      <w:r>
        <w:t>降解标志物（degradation markers）</w:t>
      </w:r>
    </w:p>
    <w:p w14:paraId="745723A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0DF98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</w:t>
      </w:r>
      <w:r>
        <w:t>数据库构建（Database development）</w:t>
      </w:r>
    </w:p>
    <w:p w14:paraId="280A3B97">
      <w:pPr>
        <w:pStyle w:val="4"/>
        <w:keepNext w:val="0"/>
        <w:keepLines w:val="0"/>
        <w:widowControl/>
        <w:suppressLineNumbers w:val="0"/>
      </w:pPr>
      <w:r>
        <w:t>介绍现有数据库及其不足</w:t>
      </w:r>
    </w:p>
    <w:p w14:paraId="46EA1A9F">
      <w:pPr>
        <w:pStyle w:val="4"/>
        <w:keepNext w:val="0"/>
        <w:keepLines w:val="0"/>
        <w:widowControl/>
        <w:suppressLineNumbers w:val="0"/>
      </w:pPr>
      <w:r>
        <w:t>提出标准化的数据格式与报告规范</w:t>
      </w:r>
    </w:p>
    <w:p w14:paraId="68A53BC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486E2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3.</w:t>
      </w:r>
      <w:r>
        <w:t>体内分布研究（Biodistribution studies）</w:t>
      </w:r>
    </w:p>
    <w:p w14:paraId="6A97906D">
      <w:pPr>
        <w:pStyle w:val="4"/>
        <w:keepNext w:val="0"/>
        <w:keepLines w:val="0"/>
        <w:widowControl/>
        <w:suppressLineNumbers w:val="0"/>
      </w:pPr>
      <w:r>
        <w:t>总结动物模型研究结果</w:t>
      </w:r>
    </w:p>
    <w:p w14:paraId="4A978438">
      <w:pPr>
        <w:pStyle w:val="4"/>
        <w:keepNext w:val="0"/>
        <w:keepLines w:val="0"/>
        <w:widowControl/>
        <w:suppressLineNumbers w:val="0"/>
      </w:pPr>
      <w:r>
        <w:t>明确哪些器官会积累 iMNPs 以及其原因</w:t>
      </w:r>
    </w:p>
    <w:p w14:paraId="5D42E5B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5E345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4.</w:t>
      </w:r>
      <w:r>
        <w:t>生物屏障跨越（Barrier crossing）</w:t>
      </w:r>
    </w:p>
    <w:p w14:paraId="7256B104">
      <w:pPr>
        <w:pStyle w:val="4"/>
        <w:keepNext w:val="0"/>
        <w:keepLines w:val="0"/>
        <w:widowControl/>
        <w:suppressLineNumbers w:val="0"/>
      </w:pPr>
      <w:r>
        <w:t>详细综述 iMNPs 跨越以下屏障的过程：</w:t>
      </w:r>
    </w:p>
    <w:p w14:paraId="31FC13E1">
      <w:pPr>
        <w:pStyle w:val="4"/>
        <w:keepNext w:val="0"/>
        <w:keepLines w:val="0"/>
        <w:widowControl/>
        <w:suppressLineNumbers w:val="0"/>
      </w:pPr>
      <w:r>
        <w:t>肠上皮屏障（intestinal epithelium）</w:t>
      </w:r>
    </w:p>
    <w:p w14:paraId="7D09DB1C">
      <w:pPr>
        <w:pStyle w:val="4"/>
        <w:keepNext w:val="0"/>
        <w:keepLines w:val="0"/>
        <w:widowControl/>
        <w:suppressLineNumbers w:val="0"/>
      </w:pPr>
      <w:r>
        <w:t>肺泡-毛细血管屏障（alveolar-capillary barrier）</w:t>
      </w:r>
    </w:p>
    <w:p w14:paraId="1F55320E">
      <w:pPr>
        <w:pStyle w:val="4"/>
        <w:keepNext w:val="0"/>
        <w:keepLines w:val="0"/>
        <w:widowControl/>
        <w:suppressLineNumbers w:val="0"/>
      </w:pPr>
      <w:r>
        <w:t>血脑屏障（blood-brain barrier）</w:t>
      </w:r>
    </w:p>
    <w:p w14:paraId="4DFB1C4E">
      <w:pPr>
        <w:pStyle w:val="4"/>
        <w:keepNext w:val="0"/>
        <w:keepLines w:val="0"/>
        <w:widowControl/>
        <w:suppressLineNumbers w:val="0"/>
      </w:pPr>
      <w:r>
        <w:t>胎盘屏障（placenta）</w:t>
      </w:r>
    </w:p>
    <w:p w14:paraId="7859D60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3C877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5.</w:t>
      </w:r>
      <w:r>
        <w:t>转运机制（Translocation mechanisms）</w:t>
      </w:r>
    </w:p>
    <w:p w14:paraId="1B99B262">
      <w:pPr>
        <w:pStyle w:val="4"/>
        <w:keepNext w:val="0"/>
        <w:keepLines w:val="0"/>
        <w:widowControl/>
        <w:suppressLineNumbers w:val="0"/>
      </w:pPr>
      <w:r>
        <w:t>跨细胞转运（Transcellular，内吞作用 endocytosis）</w:t>
      </w:r>
    </w:p>
    <w:p w14:paraId="7238F086">
      <w:pPr>
        <w:pStyle w:val="4"/>
        <w:keepNext w:val="0"/>
        <w:keepLines w:val="0"/>
        <w:widowControl/>
        <w:suppressLineNumbers w:val="0"/>
      </w:pPr>
      <w:r>
        <w:t>旁细胞转运（Paracellular，紧密连接破坏）</w:t>
      </w:r>
    </w:p>
    <w:p w14:paraId="7C38F6EC">
      <w:pPr>
        <w:pStyle w:val="4"/>
        <w:keepNext w:val="0"/>
        <w:keepLines w:val="0"/>
        <w:widowControl/>
        <w:suppressLineNumbers w:val="0"/>
      </w:pPr>
      <w:r>
        <w:t>M 细胞介导转运（M-cell mediated transport）</w:t>
      </w:r>
    </w:p>
    <w:p w14:paraId="2702DC3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B9BE1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6.</w:t>
      </w:r>
      <w:r>
        <w:t>滞留与清除（Retention vs. clearance）</w:t>
      </w:r>
    </w:p>
    <w:p w14:paraId="7501F9C5">
      <w:pPr>
        <w:pStyle w:val="4"/>
        <w:keepNext w:val="0"/>
        <w:keepLines w:val="0"/>
        <w:widowControl/>
        <w:suppressLineNumbers w:val="0"/>
      </w:pPr>
      <w:r>
        <w:t>半衰期（half-life）</w:t>
      </w:r>
    </w:p>
    <w:p w14:paraId="63775EF1">
      <w:pPr>
        <w:pStyle w:val="4"/>
        <w:keepNext w:val="0"/>
        <w:keepLines w:val="0"/>
        <w:widowControl/>
        <w:suppressLineNumbers w:val="0"/>
      </w:pPr>
      <w:r>
        <w:t>排泄途径（excretion routes）</w:t>
      </w:r>
    </w:p>
    <w:p w14:paraId="467AB1D2">
      <w:pPr>
        <w:pStyle w:val="4"/>
        <w:keepNext w:val="0"/>
        <w:keepLines w:val="0"/>
        <w:widowControl/>
        <w:suppressLineNumbers w:val="0"/>
      </w:pPr>
      <w:r>
        <w:t>影响体内持久性的因素（factors affecting persistence）</w:t>
      </w:r>
    </w:p>
    <w:p w14:paraId="4FCE0C7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0EE4C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7.</w:t>
      </w:r>
      <w:r>
        <w:t>动力学建模（Kinetic modeling）</w:t>
      </w:r>
    </w:p>
    <w:p w14:paraId="642267D0">
      <w:pPr>
        <w:pStyle w:val="4"/>
        <w:keepNext w:val="0"/>
        <w:keepLines w:val="0"/>
        <w:widowControl/>
        <w:suppressLineNumbers w:val="0"/>
      </w:pPr>
      <w:r>
        <w:t>基于生理的药代动力学模型（PBPK, physiologically-based pharmacokinetic models）</w:t>
      </w:r>
    </w:p>
    <w:p w14:paraId="1846B3A1">
      <w:pPr>
        <w:pStyle w:val="4"/>
        <w:keepNext w:val="0"/>
        <w:keepLines w:val="0"/>
        <w:widowControl/>
        <w:suppressLineNumbers w:val="0"/>
      </w:pPr>
      <w:r>
        <w:t>将 PBPK 模型应用于颗粒物（particles）的适配</w:t>
      </w:r>
    </w:p>
    <w:p w14:paraId="5C43F37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5F6FE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8.</w:t>
      </w:r>
      <w:r>
        <w:t>人体证据（Human evidence）</w:t>
      </w:r>
    </w:p>
    <w:p w14:paraId="521EE4F2">
      <w:pPr>
        <w:pStyle w:val="4"/>
        <w:keepNext w:val="0"/>
        <w:keepLines w:val="0"/>
        <w:widowControl/>
        <w:suppressLineNumbers w:val="0"/>
      </w:pPr>
      <w:r>
        <w:t>总结 iMNPs 在以下样本中的检测情况：</w:t>
      </w:r>
    </w:p>
    <w:p w14:paraId="68CB3106">
      <w:pPr>
        <w:pStyle w:val="4"/>
        <w:keepNext w:val="0"/>
        <w:keepLines w:val="0"/>
        <w:widowControl/>
        <w:suppressLineNumbers w:val="0"/>
      </w:pPr>
      <w:r>
        <w:t>血液（blood）</w:t>
      </w:r>
    </w:p>
    <w:p w14:paraId="4FF1ABF0">
      <w:pPr>
        <w:pStyle w:val="4"/>
        <w:keepNext w:val="0"/>
        <w:keepLines w:val="0"/>
        <w:widowControl/>
        <w:suppressLineNumbers w:val="0"/>
      </w:pPr>
      <w:r>
        <w:t>肺（lungs）</w:t>
      </w:r>
    </w:p>
    <w:p w14:paraId="73272881">
      <w:pPr>
        <w:pStyle w:val="4"/>
        <w:keepNext w:val="0"/>
        <w:keepLines w:val="0"/>
        <w:widowControl/>
        <w:suppressLineNumbers w:val="0"/>
      </w:pPr>
      <w:r>
        <w:t>肝脏（liver）</w:t>
      </w:r>
    </w:p>
    <w:p w14:paraId="1573FA29">
      <w:pPr>
        <w:pStyle w:val="4"/>
        <w:keepNext w:val="0"/>
        <w:keepLines w:val="0"/>
        <w:widowControl/>
        <w:suppressLineNumbers w:val="0"/>
      </w:pPr>
      <w:r>
        <w:t>胎盘（placenta）</w:t>
      </w:r>
    </w:p>
    <w:p w14:paraId="16C90451">
      <w:pPr>
        <w:pStyle w:val="4"/>
        <w:keepNext w:val="0"/>
        <w:keepLines w:val="0"/>
        <w:widowControl/>
        <w:suppressLineNumbers w:val="0"/>
      </w:pPr>
      <w:r>
        <w:t>粪便（stool）</w:t>
      </w:r>
    </w:p>
    <w:p w14:paraId="7B53C163">
      <w:pPr>
        <w:pStyle w:val="4"/>
        <w:keepNext w:val="0"/>
        <w:keepLines w:val="0"/>
        <w:widowControl/>
        <w:suppressLineNumbers w:val="0"/>
      </w:pPr>
      <w:r>
        <w:t>同时指出研究局限性</w:t>
      </w:r>
    </w:p>
    <w:p w14:paraId="76F509C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AE60F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9.</w:t>
      </w:r>
      <w:r>
        <w:t>比较分析（Comparative analysis）</w:t>
      </w:r>
    </w:p>
    <w:p w14:paraId="76B1CF4D">
      <w:pPr>
        <w:pStyle w:val="4"/>
        <w:keepNext w:val="0"/>
        <w:keepLines w:val="0"/>
        <w:widowControl/>
        <w:suppressLineNumbers w:val="0"/>
      </w:pPr>
      <w:r>
        <w:t>不同物种之间的差异</w:t>
      </w:r>
    </w:p>
    <w:p w14:paraId="0A0BBCBC">
      <w:pPr>
        <w:pStyle w:val="4"/>
        <w:keepNext w:val="0"/>
        <w:keepLines w:val="0"/>
        <w:widowControl/>
        <w:suppressLineNumbers w:val="0"/>
      </w:pPr>
      <w:r>
        <w:t>不同颗粒类型之间的差异</w:t>
      </w:r>
    </w:p>
    <w:p w14:paraId="64286290">
      <w:pPr>
        <w:pStyle w:val="4"/>
        <w:keepNext w:val="0"/>
        <w:keepLines w:val="0"/>
        <w:widowControl/>
        <w:suppressLineNumbers w:val="0"/>
      </w:pPr>
      <w:r>
        <w:t>不同暴露途径之间的差异</w:t>
      </w:r>
    </w:p>
    <w:p w14:paraId="67500ED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7233A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10.</w:t>
      </w:r>
      <w:r>
        <w:t>篇幅要求（Length）</w:t>
      </w:r>
    </w:p>
    <w:p w14:paraId="22F4837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28–32 页</w:t>
      </w:r>
    </w:p>
    <w:p w14:paraId="1BDC52E7">
      <w:pPr>
        <w:pStyle w:val="4"/>
        <w:keepNext w:val="0"/>
        <w:keepLines w:val="0"/>
        <w:widowControl/>
        <w:suppressLineNumbers w:val="0"/>
      </w:pPr>
      <w:r>
        <w:t>需包含带有分布数据的</w:t>
      </w:r>
      <w:r>
        <w:rPr>
          <w:rStyle w:val="7"/>
        </w:rPr>
        <w:t>解剖学示意图（anatomical diagrams）</w:t>
      </w:r>
      <w:bookmarkStart w:id="0" w:name="_GoBack"/>
      <w:bookmarkEnd w:id="0"/>
    </w:p>
    <w:p w14:paraId="4CE325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B5A4ED"/>
    <w:multiLevelType w:val="multilevel"/>
    <w:tmpl w:val="FAB5A4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BD461E"/>
    <w:rsid w:val="11BD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2026-03-17T05:09:00Z</dcterms:created>
  <dc:creator>动感光波咻咻咻</dc:creator>
  <cp:lastModifiedBy>动感光波咻咻咻</cp:lastModifiedBy>
  <dcterms:modified xsi:type="dcterms:W3CDTF">2026-03-17T05:15:10Z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2E0C4FCEF2744F01BED204B411C689F4_11</vt:lpwstr>
  </property>
  <property fmtid="{D5CDD505-2E9C-101B-9397-08002B2CF9AE}" pid="4" name="KSOTemplateDocerSaveRecord">
    <vt:lpwstr>eyJoZGlkIjoiZDQ0MWMyYjE2ZjY5MzNhNGUwZjMxNGU3NTgxYzRkZDgiLCJ1c2VySWQiOiI2ODIxNjk0MzkifQ==</vt:lpwstr>
  </property>
</Properties>
</file>