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F4D026">
      <w:pPr>
        <w:pStyle w:val="3"/>
      </w:pPr>
      <w:r>
        <w:rPr>
          <w:rFonts w:ascii="Times New Roman" w:hAnsi="Times New Roman"/>
          <w:color w:val="000000"/>
        </w:rPr>
        <w:t>Chapter 8: Identification and Tracking Tools</w:t>
      </w:r>
    </w:p>
    <w:p w14:paraId="6E2FB039">
      <w:pPr>
        <w:pStyle w:val="4"/>
      </w:pPr>
      <w:r>
        <w:rPr>
          <w:rFonts w:ascii="Times New Roman" w:hAnsi="Times New Roman"/>
          <w:color w:val="000000"/>
        </w:rPr>
        <w:t>Part III: Detection and Tracking in Biological Systems</w:t>
      </w:r>
    </w:p>
    <w:p w14:paraId="2C5EAB04">
      <w:r>
        <w:rPr>
          <w:rFonts w:ascii="Times New Roman" w:hAnsi="Times New Roman"/>
          <w:b/>
          <w:i w:val="0"/>
          <w:sz w:val="24"/>
        </w:rPr>
        <w:t>Book:</w:t>
      </w:r>
      <w:r>
        <w:rPr>
          <w:rFonts w:ascii="Times New Roman" w:hAnsi="Times New Roman"/>
          <w:b w:val="0"/>
          <w:i w:val="0"/>
          <w:sz w:val="24"/>
        </w:rPr>
        <w:t xml:space="preserve"> </w:t>
      </w:r>
      <w:r>
        <w:rPr>
          <w:rFonts w:ascii="Times New Roman" w:hAnsi="Times New Roman"/>
          <w:b w:val="0"/>
          <w:i/>
          <w:sz w:val="24"/>
        </w:rPr>
        <w:t>Endogenous Microplastics and Nanoplastics (iMNPs): Toxicological Mechanisms and Health Impacts</w:t>
      </w:r>
    </w:p>
    <w:p w14:paraId="45AA0CC0">
      <w:pPr>
        <w:pStyle w:val="4"/>
      </w:pPr>
      <w:r>
        <w:rPr>
          <w:rFonts w:ascii="Times New Roman" w:hAnsi="Times New Roman"/>
          <w:color w:val="000000"/>
        </w:rPr>
        <w:t>Table of Contents</w:t>
      </w:r>
    </w:p>
    <w:p w14:paraId="2F1DDB39">
      <w:pPr>
        <w:pStyle w:val="16"/>
      </w:pPr>
      <w:r>
        <w:rPr>
          <w:rFonts w:ascii="Times New Roman" w:hAnsi="Times New Roman"/>
          <w:b w:val="0"/>
          <w:i w:val="0"/>
          <w:sz w:val="24"/>
        </w:rPr>
        <w:t>8.1 Introduction</w:t>
      </w:r>
    </w:p>
    <w:p w14:paraId="0D175786">
      <w:pPr>
        <w:pStyle w:val="16"/>
      </w:pPr>
      <w:r>
        <w:rPr>
          <w:rFonts w:ascii="Times New Roman" w:hAnsi="Times New Roman"/>
          <w:b w:val="0"/>
          <w:i w:val="0"/>
          <w:sz w:val="24"/>
        </w:rPr>
        <w:t>8.2 Molecular Fingerprinting for iMNP Detection</w:t>
      </w:r>
    </w:p>
    <w:p w14:paraId="4586EA4E">
      <w:pPr>
        <w:pStyle w:val="16"/>
      </w:pPr>
      <w:r>
        <w:rPr>
          <w:rFonts w:ascii="Times New Roman" w:hAnsi="Times New Roman"/>
          <w:b w:val="0"/>
          <w:i w:val="0"/>
          <w:sz w:val="24"/>
        </w:rPr>
        <w:t>8.3 Reference Database Development</w:t>
      </w:r>
    </w:p>
    <w:p w14:paraId="705E3281">
      <w:pPr>
        <w:pStyle w:val="16"/>
      </w:pPr>
      <w:r>
        <w:rPr>
          <w:rFonts w:ascii="Times New Roman" w:hAnsi="Times New Roman"/>
          <w:b w:val="0"/>
          <w:i w:val="0"/>
          <w:sz w:val="24"/>
        </w:rPr>
        <w:t>8.4 Biodistribution Studies</w:t>
      </w:r>
    </w:p>
    <w:p w14:paraId="22E2BB66">
      <w:pPr>
        <w:pStyle w:val="16"/>
      </w:pPr>
      <w:r>
        <w:rPr>
          <w:rFonts w:ascii="Times New Roman" w:hAnsi="Times New Roman"/>
          <w:b w:val="0"/>
          <w:i w:val="0"/>
          <w:sz w:val="24"/>
        </w:rPr>
        <w:t>8.5 Biological Barrier Crossing</w:t>
      </w:r>
    </w:p>
    <w:p w14:paraId="556B4810">
      <w:pPr>
        <w:pStyle w:val="16"/>
      </w:pPr>
      <w:r>
        <w:rPr>
          <w:rFonts w:ascii="Times New Roman" w:hAnsi="Times New Roman"/>
          <w:b w:val="0"/>
          <w:i w:val="0"/>
          <w:sz w:val="24"/>
        </w:rPr>
        <w:t>8.6 Translocation Mechanisms</w:t>
      </w:r>
    </w:p>
    <w:p w14:paraId="1C483474">
      <w:pPr>
        <w:pStyle w:val="16"/>
      </w:pPr>
      <w:r>
        <w:rPr>
          <w:rFonts w:ascii="Times New Roman" w:hAnsi="Times New Roman"/>
          <w:b w:val="0"/>
          <w:i w:val="0"/>
          <w:sz w:val="24"/>
        </w:rPr>
        <w:t>8.7 Retention and Clearance</w:t>
      </w:r>
    </w:p>
    <w:p w14:paraId="5BA2AE31">
      <w:pPr>
        <w:pStyle w:val="16"/>
      </w:pPr>
      <w:r>
        <w:rPr>
          <w:rFonts w:ascii="Times New Roman" w:hAnsi="Times New Roman"/>
          <w:b w:val="0"/>
          <w:i w:val="0"/>
          <w:sz w:val="24"/>
        </w:rPr>
        <w:t>8.8 Kinetic Modeling</w:t>
      </w:r>
    </w:p>
    <w:p w14:paraId="252A28B4">
      <w:pPr>
        <w:pStyle w:val="16"/>
      </w:pPr>
      <w:r>
        <w:rPr>
          <w:rFonts w:ascii="Times New Roman" w:hAnsi="Times New Roman"/>
          <w:b w:val="0"/>
          <w:i w:val="0"/>
          <w:sz w:val="24"/>
        </w:rPr>
        <w:t>8.9 Human Evidence: A Systematic Review and Meta-Analysis</w:t>
      </w:r>
    </w:p>
    <w:p w14:paraId="5DAA7E7A">
      <w:pPr>
        <w:pStyle w:val="16"/>
      </w:pPr>
      <w:r>
        <w:rPr>
          <w:rFonts w:ascii="Times New Roman" w:hAnsi="Times New Roman"/>
          <w:b w:val="0"/>
          <w:i w:val="0"/>
          <w:sz w:val="24"/>
        </w:rPr>
        <w:t>8.10 Comparative Analysis</w:t>
      </w:r>
    </w:p>
    <w:p w14:paraId="25B6E961">
      <w:pPr>
        <w:pStyle w:val="16"/>
      </w:pPr>
      <w:r>
        <w:rPr>
          <w:rFonts w:ascii="Times New Roman" w:hAnsi="Times New Roman"/>
          <w:b w:val="0"/>
          <w:i w:val="0"/>
          <w:sz w:val="24"/>
        </w:rPr>
        <w:t>8.11 Conclusions and Future Perspectives</w:t>
      </w:r>
    </w:p>
    <w:p w14:paraId="199BA32B">
      <w:pPr>
        <w:pStyle w:val="16"/>
      </w:pPr>
      <w:r>
        <w:rPr>
          <w:rFonts w:ascii="Times New Roman" w:hAnsi="Times New Roman"/>
          <w:b w:val="0"/>
          <w:i w:val="0"/>
          <w:sz w:val="24"/>
        </w:rPr>
        <w:t>References</w:t>
      </w:r>
    </w:p>
    <w:p w14:paraId="64134371">
      <w:pPr>
        <w:pStyle w:val="4"/>
      </w:pPr>
      <w:r>
        <w:rPr>
          <w:rFonts w:ascii="Times New Roman" w:hAnsi="Times New Roman"/>
          <w:color w:val="000000"/>
        </w:rPr>
        <w:t>8.1 Introduction</w:t>
      </w:r>
    </w:p>
    <w:p w14:paraId="2E3C34BE">
      <w:r>
        <w:rPr>
          <w:rFonts w:ascii="Times New Roman" w:hAnsi="Times New Roman"/>
          <w:b w:val="0"/>
          <w:i w:val="0"/>
          <w:sz w:val="24"/>
        </w:rPr>
        <w:t>The detection, identification, and tracking of endogenous microplastics and nanoplastics (iMNPs) within biological systems represent one of the most technically challenging frontiers in environmental health science. Unlike monitoring plastics in environmental matrices such as water or sediment, detecting iMNPs in biological tissues requires navigating a complex landscape of organic matrices, low particle concentrations, and the ever-present risk of procedural contamination [1,2]. Over the past decade, rapid advances in analytical chemistry have expanded the toolkit available for iMNP identification, from established spectroscopic techniques such as Fourier-transform infrared (FTIR) spectroscopy and Raman spectroscopy to emerging mass spectrometric and imaging modalities [3,4].</w:t>
      </w:r>
    </w:p>
    <w:p w14:paraId="45042C7B">
      <w:r>
        <w:rPr>
          <w:rFonts w:ascii="Times New Roman" w:hAnsi="Times New Roman"/>
          <w:b w:val="0"/>
          <w:i w:val="0"/>
          <w:sz w:val="24"/>
        </w:rPr>
        <w:t>This chapter provides a comprehensive review of the identification and tracking tools currently available for iMNP research in biological systems. We begin with the molecular fingerprinting approaches that underpin polymer identification (Section 8.2), followed by the development of reference databases essential for standardized analysis (Section 8.3). The chapter then transitions to the biological dimension: how iMNPs distribute across organ systems (Section 8.4), the mechanisms by which they cross biological barriers (Sections 8.5–8.6), and the kinetics governing their retention and clearance (Sections 8.7–8.8). A central feature of this chapter is a systematic meta-analysis of human evidence for iMNP detection across tissues (Section 8.9), synthesizing data from 11 studies encompassing 474 participants to provide pooled prevalence estimates. Finally, we offer a comparative analysis across species, particle types, and exposure routes (Section 8.10).</w:t>
      </w:r>
    </w:p>
    <w:p w14:paraId="742B680A">
      <w:r>
        <w:rPr>
          <w:rFonts w:ascii="Times New Roman" w:hAnsi="Times New Roman"/>
          <w:b w:val="0"/>
          <w:i w:val="0"/>
          <w:sz w:val="24"/>
        </w:rPr>
        <w:t xml:space="preserve">The fundamental objective of this chapter is to bridge the gap between analytical capability and biological understanding—demonstrating not only </w:t>
      </w:r>
      <w:r>
        <w:rPr>
          <w:rFonts w:ascii="Times New Roman" w:hAnsi="Times New Roman"/>
          <w:b w:val="0"/>
          <w:i/>
          <w:sz w:val="24"/>
        </w:rPr>
        <w:t>how</w:t>
      </w:r>
      <w:r>
        <w:rPr>
          <w:rFonts w:ascii="Times New Roman" w:hAnsi="Times New Roman"/>
          <w:b w:val="0"/>
          <w:i w:val="0"/>
          <w:sz w:val="24"/>
        </w:rPr>
        <w:t xml:space="preserve"> we detect iMNPs but </w:t>
      </w:r>
      <w:r>
        <w:rPr>
          <w:rFonts w:ascii="Times New Roman" w:hAnsi="Times New Roman"/>
          <w:b w:val="0"/>
          <w:i/>
          <w:sz w:val="24"/>
        </w:rPr>
        <w:t>where</w:t>
      </w:r>
      <w:r>
        <w:rPr>
          <w:rFonts w:ascii="Times New Roman" w:hAnsi="Times New Roman"/>
          <w:b w:val="0"/>
          <w:i w:val="0"/>
          <w:sz w:val="24"/>
        </w:rPr>
        <w:t xml:space="preserve"> they accumulate, </w:t>
      </w:r>
      <w:r>
        <w:rPr>
          <w:rFonts w:ascii="Times New Roman" w:hAnsi="Times New Roman"/>
          <w:b w:val="0"/>
          <w:i/>
          <w:sz w:val="24"/>
        </w:rPr>
        <w:t>how</w:t>
      </w:r>
      <w:r>
        <w:rPr>
          <w:rFonts w:ascii="Times New Roman" w:hAnsi="Times New Roman"/>
          <w:b w:val="0"/>
          <w:i w:val="0"/>
          <w:sz w:val="24"/>
        </w:rPr>
        <w:t xml:space="preserve"> they get there, and </w:t>
      </w:r>
      <w:r>
        <w:rPr>
          <w:rFonts w:ascii="Times New Roman" w:hAnsi="Times New Roman"/>
          <w:b w:val="0"/>
          <w:i/>
          <w:sz w:val="24"/>
        </w:rPr>
        <w:t>what</w:t>
      </w:r>
      <w:r>
        <w:rPr>
          <w:rFonts w:ascii="Times New Roman" w:hAnsi="Times New Roman"/>
          <w:b w:val="0"/>
          <w:i w:val="0"/>
          <w:sz w:val="24"/>
        </w:rPr>
        <w:t xml:space="preserve"> the quantitative evidence tells us about the prevalence of human exposure.</w:t>
      </w:r>
    </w:p>
    <w:p w14:paraId="700A25AB">
      <w:pPr>
        <w:pStyle w:val="4"/>
      </w:pPr>
      <w:r>
        <w:rPr>
          <w:rFonts w:ascii="Times New Roman" w:hAnsi="Times New Roman"/>
          <w:color w:val="000000"/>
        </w:rPr>
        <w:t>8.2 Molecular Fingerprinting for iMNP Detection</w:t>
      </w:r>
    </w:p>
    <w:p w14:paraId="449F68B6"/>
    <w:p w14:paraId="6A98079F">
      <w:pPr>
        <w:jc w:val="center"/>
      </w:pPr>
      <w:r>
        <w:drawing>
          <wp:inline distT="0" distB="0" distL="114300" distR="114300">
            <wp:extent cx="5303520" cy="339471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303520" cy="3395020"/>
                    </a:xfrm>
                    <a:prstGeom prst="rect">
                      <a:avLst/>
                    </a:prstGeom>
                  </pic:spPr>
                </pic:pic>
              </a:graphicData>
            </a:graphic>
          </wp:inline>
        </w:drawing>
      </w:r>
    </w:p>
    <w:p w14:paraId="7402A2B2">
      <w:pPr>
        <w:jc w:val="center"/>
      </w:pPr>
      <w:r>
        <w:rPr>
          <w:rFonts w:ascii="Times New Roman" w:hAnsi="Times New Roman"/>
          <w:b w:val="0"/>
          <w:i/>
          <w:sz w:val="20"/>
        </w:rPr>
        <w:t>Figure 8.1  Comparative Performance of Analytical Methods for iMNP Detection in Biological Tissues. Heatmap showing performance scores (0-10) across eight dimensions for eight analytical techniques. Py-GC/MS and AFM-IR excel at nanoplastics detection; LDIR offers highest throughput; mu-Raman provides the best spatial resolution among non-destructive methods.</w:t>
      </w:r>
    </w:p>
    <w:p w14:paraId="10001418"/>
    <w:p w14:paraId="03E5C9A9">
      <w:pPr>
        <w:pStyle w:val="5"/>
      </w:pPr>
      <w:r>
        <w:rPr>
          <w:rFonts w:ascii="Times New Roman" w:hAnsi="Times New Roman"/>
          <w:color w:val="000000"/>
        </w:rPr>
        <w:t>8.2.1 Spectral Libraries and Spectroscopic Identification</w:t>
      </w:r>
    </w:p>
    <w:p w14:paraId="0C0F4042">
      <w:r>
        <w:rPr>
          <w:rFonts w:ascii="Times New Roman" w:hAnsi="Times New Roman"/>
          <w:b w:val="0"/>
          <w:i w:val="0"/>
          <w:sz w:val="24"/>
        </w:rPr>
        <w:t>The cornerstone of iMNP identification in biological tissues is molecular fingerprinting through vibrational spectroscopy. Each polymer produces a characteristic spectral signature—a molecular fingerprint—that enables unambiguous identification of particle composition [5,6].</w:t>
      </w:r>
    </w:p>
    <w:p w14:paraId="71D16A8C">
      <w:r>
        <w:rPr>
          <w:rFonts w:ascii="Times New Roman" w:hAnsi="Times New Roman"/>
          <w:b/>
          <w:i w:val="0"/>
          <w:sz w:val="24"/>
        </w:rPr>
        <w:t>Fourier-Transform Infrared (FTIR) Spectroscopy.</w:t>
      </w:r>
      <w:r>
        <w:rPr>
          <w:rFonts w:ascii="Times New Roman" w:hAnsi="Times New Roman"/>
          <w:b w:val="0"/>
          <w:i w:val="0"/>
          <w:sz w:val="24"/>
        </w:rPr>
        <w:t xml:space="preserve"> Micro-FTIR (μ-FTIR) operates by measuring the absorption of infrared radiation at specific wavelengths corresponding to molecular bond vibrations. For polymer identification, key diagnostic absorption bands include: C–H stretching (2850–2960 cm⁻¹) common to polyolefins such as polyethylene (PE) and polypropylene (PP); carbonyl C=O stretching (~1720 cm⁻¹) characteristic of polyethylene terephthalate (PET); and C–Cl stretching (~600–700 cm⁻¹) diagnostic of polyvinyl chloride (PVC) [1]. Attenuated total reflectance FTIR (ATR-FTIR) allows direct surface analysis without sample preparation, making it suitable for larger particles (&gt;50 μm). Focal plane array (FPA)-based μ-FTIR imaging enables automated mapping of entire filter surfaces, achieving spatial resolution down to ~3 μm [2]. However, the diffraction limit of infrared radiation (~10 μm for mid-IR) constrains the minimum detectable particle size, fundamentally excluding nanoplastics from FTIR analysis.</w:t>
      </w:r>
    </w:p>
    <w:p w14:paraId="1995D985">
      <w:r>
        <w:rPr>
          <w:rFonts w:ascii="Times New Roman" w:hAnsi="Times New Roman"/>
          <w:b/>
          <w:i w:val="0"/>
          <w:sz w:val="24"/>
        </w:rPr>
        <w:t>Raman Spectroscopy.</w:t>
      </w:r>
      <w:r>
        <w:rPr>
          <w:rFonts w:ascii="Times New Roman" w:hAnsi="Times New Roman"/>
          <w:b w:val="0"/>
          <w:i w:val="0"/>
          <w:sz w:val="24"/>
        </w:rPr>
        <w:t xml:space="preserve"> Micro-Raman spectroscopy (μ-Raman) complements FTIR by measuring inelastic light scattering from molecular vibrations. Raman is particularly advantageous for iMNP analysis because: (a) water does not interfere with Raman signals (unlike FTIR), facilitating analysis of hydrated biological samples; (b) spatial resolution can reach ~1 μm with visible laser excitation, and below 500 nm with confocal configurations; and (c) Raman provides complementary spectral information that can resolve ambiguities in FTIR identification [9,10]. However, fluorescence from biological matrix components can overwhelm Raman signals, necessitating careful sample preparation and photobleaching protocols. Surface-enhanced Raman spectroscopy (SERS) offers signal amplification of 10⁶–10⁸ fold via metallic nanostructures, potentially extending detection to individual nanoplastic particles [3].</w:t>
      </w:r>
    </w:p>
    <w:p w14:paraId="15D7CF84">
      <w:r>
        <w:rPr>
          <w:rFonts w:ascii="Times New Roman" w:hAnsi="Times New Roman"/>
          <w:b/>
          <w:i w:val="0"/>
          <w:sz w:val="24"/>
        </w:rPr>
        <w:t>Pyrolysis-Gas Chromatography/Mass Spectrometry (Py-GC/MS).</w:t>
      </w:r>
      <w:r>
        <w:rPr>
          <w:rFonts w:ascii="Times New Roman" w:hAnsi="Times New Roman"/>
          <w:b w:val="0"/>
          <w:i w:val="0"/>
          <w:sz w:val="24"/>
        </w:rPr>
        <w:t xml:space="preserve"> Py-GC/MS provides mass-based quantification of polymer content by thermally decomposing plastic particles and analyzing the resulting volatile pyrolysis products [4]. This technique is uniquely suited for detecting nanoplastics below the spatial resolution limits of vibrational spectroscopy. Thermoextraction and desorption coupled with GC/MS (TED-GC/MS) offers a higher-throughput variant for larger sample volumes [5]. The principal limitation is that Py-GC/MS is a destructive technique that provides no morphological information (size, shape, color), and results are expressed as mass concentration (μg/g) rather than particle counts.</w:t>
      </w:r>
    </w:p>
    <w:p w14:paraId="21B4989F">
      <w:r>
        <w:rPr>
          <w:rFonts w:ascii="Times New Roman" w:hAnsi="Times New Roman"/>
          <w:b/>
          <w:i w:val="0"/>
          <w:sz w:val="24"/>
        </w:rPr>
        <w:t>Emerging Techniques.</w:t>
      </w:r>
      <w:r>
        <w:rPr>
          <w:rFonts w:ascii="Times New Roman" w:hAnsi="Times New Roman"/>
          <w:b w:val="0"/>
          <w:i w:val="0"/>
          <w:sz w:val="24"/>
        </w:rPr>
        <w:t xml:space="preserve"> Several advanced approaches are expanding the analytical frontier: time-of-flight secondary ion mass spectrometry (TOF-SIMS) provides surface-specific chemical mapping at nanometer resolution [6]; laser direct infrared (LDIR) chemical imaging offers rapid automated scanning [7]; and atomic force microscopy coupled with infrared spectroscopy (AFM-IR) achieves nanoscale chemical identification at spatial resolutions below 100 nm [8].</w:t>
      </w:r>
    </w:p>
    <w:p w14:paraId="453E7E63">
      <w:pPr>
        <w:pStyle w:val="5"/>
      </w:pPr>
      <w:r>
        <w:rPr>
          <w:rFonts w:ascii="Times New Roman" w:hAnsi="Times New Roman"/>
          <w:color w:val="000000"/>
        </w:rPr>
        <w:t>8.2.2 Polymer Additives as Tracers</w:t>
      </w:r>
    </w:p>
    <w:p w14:paraId="3CCB4563">
      <w:r>
        <w:rPr>
          <w:rFonts w:ascii="Times New Roman" w:hAnsi="Times New Roman"/>
          <w:b w:val="0"/>
          <w:i w:val="0"/>
          <w:sz w:val="24"/>
        </w:rPr>
        <w:t>Beyond identifying the polymer backbone, chemical additives incorporated during plastic manufacturing serve as auxiliary tracers for iMNP identification and source attribution [9]. Key additive classes include:</w:t>
      </w:r>
    </w:p>
    <w:p w14:paraId="08CF8FE4">
      <w:pPr>
        <w:pStyle w:val="16"/>
      </w:pPr>
      <w:r>
        <w:rPr>
          <w:rFonts w:ascii="Times New Roman" w:hAnsi="Times New Roman"/>
          <w:b/>
          <w:i w:val="0"/>
          <w:sz w:val="24"/>
        </w:rPr>
        <w:t>Plasticizers:</w:t>
      </w:r>
      <w:r>
        <w:rPr>
          <w:rFonts w:ascii="Times New Roman" w:hAnsi="Times New Roman"/>
          <w:b w:val="0"/>
          <w:i w:val="0"/>
          <w:sz w:val="24"/>
        </w:rPr>
        <w:t xml:space="preserve"> Phthalates (DEHP, DBP) and their non-phthalate replacements (DINCH, ATBC) are incorporated at 20–40% by weight in flexible PVC and can leach from particles within tissues, serving as indirect biomarkers of plastic exposure [10].</w:t>
      </w:r>
    </w:p>
    <w:p w14:paraId="0729BE7D">
      <w:pPr>
        <w:pStyle w:val="16"/>
      </w:pPr>
      <w:r>
        <w:rPr>
          <w:rFonts w:ascii="Times New Roman" w:hAnsi="Times New Roman"/>
          <w:b/>
          <w:i w:val="0"/>
          <w:sz w:val="24"/>
        </w:rPr>
        <w:t>Flame retardants:</w:t>
      </w:r>
      <w:r>
        <w:rPr>
          <w:rFonts w:ascii="Times New Roman" w:hAnsi="Times New Roman"/>
          <w:b w:val="0"/>
          <w:i w:val="0"/>
          <w:sz w:val="24"/>
        </w:rPr>
        <w:t xml:space="preserve"> Brominated flame retardants (BDE-47, BDE-209) and organophosphate esters (TCEP, TDCIPP) associated with electronic waste plastics provide source-specific signatures [11].</w:t>
      </w:r>
    </w:p>
    <w:p w14:paraId="6EAF6E64">
      <w:pPr>
        <w:pStyle w:val="16"/>
      </w:pPr>
      <w:r>
        <w:rPr>
          <w:rFonts w:ascii="Times New Roman" w:hAnsi="Times New Roman"/>
          <w:b/>
          <w:i w:val="0"/>
          <w:sz w:val="24"/>
        </w:rPr>
        <w:t>UV stabilizers:</w:t>
      </w:r>
      <w:r>
        <w:rPr>
          <w:rFonts w:ascii="Times New Roman" w:hAnsi="Times New Roman"/>
          <w:b w:val="0"/>
          <w:i w:val="0"/>
          <w:sz w:val="24"/>
        </w:rPr>
        <w:t xml:space="preserve"> Benzotriazole UV absorbers (UV-326, UV-328) and hindered amine light stabilizers (HALS) indicate exposure to outdoor-weathered plastics [12].</w:t>
      </w:r>
    </w:p>
    <w:p w14:paraId="1F29485E">
      <w:pPr>
        <w:pStyle w:val="16"/>
      </w:pPr>
      <w:r>
        <w:rPr>
          <w:rFonts w:ascii="Times New Roman" w:hAnsi="Times New Roman"/>
          <w:b/>
          <w:i w:val="0"/>
          <w:sz w:val="24"/>
        </w:rPr>
        <w:t>Antioxidants:</w:t>
      </w:r>
      <w:r>
        <w:rPr>
          <w:rFonts w:ascii="Times New Roman" w:hAnsi="Times New Roman"/>
          <w:b w:val="0"/>
          <w:i w:val="0"/>
          <w:sz w:val="24"/>
        </w:rPr>
        <w:t xml:space="preserve"> Irganox 1076 and Irgafos 168 are widely used in polyolefin packaging and can be detected in tissues as co-contaminants [13].</w:t>
      </w:r>
    </w:p>
    <w:p w14:paraId="31E73733">
      <w:r>
        <w:rPr>
          <w:rFonts w:ascii="Times New Roman" w:hAnsi="Times New Roman"/>
          <w:b w:val="0"/>
          <w:i w:val="0"/>
          <w:sz w:val="24"/>
        </w:rPr>
        <w:t>The simultaneous detection of polymer backbone and additive profiles enables "chemical profiling" of iMNPs, providing information not only about polymer type but also about the original product category (packaging, textile, automotive component) and environmental history of the particle [14].</w:t>
      </w:r>
    </w:p>
    <w:p w14:paraId="1E01A555">
      <w:pPr>
        <w:pStyle w:val="5"/>
      </w:pPr>
      <w:r>
        <w:rPr>
          <w:rFonts w:ascii="Times New Roman" w:hAnsi="Times New Roman"/>
          <w:color w:val="000000"/>
        </w:rPr>
        <w:t>8.2.3 Degradation Markers</w:t>
      </w:r>
    </w:p>
    <w:p w14:paraId="0B178513">
      <w:r>
        <w:rPr>
          <w:rFonts w:ascii="Times New Roman" w:hAnsi="Times New Roman"/>
          <w:b w:val="0"/>
          <w:i w:val="0"/>
          <w:sz w:val="24"/>
        </w:rPr>
        <w:t>As plastic particles weather and degrade within biological environments, characteristic chemical modifications accumulate that serve as markers of aging and environmental history [15]:</w:t>
      </w:r>
    </w:p>
    <w:p w14:paraId="3487E143">
      <w:pPr>
        <w:pStyle w:val="16"/>
      </w:pPr>
      <w:r>
        <w:rPr>
          <w:rFonts w:ascii="Times New Roman" w:hAnsi="Times New Roman"/>
          <w:b/>
          <w:i w:val="0"/>
          <w:sz w:val="24"/>
        </w:rPr>
        <w:t>Surface oxidation:</w:t>
      </w:r>
      <w:r>
        <w:rPr>
          <w:rFonts w:ascii="Times New Roman" w:hAnsi="Times New Roman"/>
          <w:b w:val="0"/>
          <w:i w:val="0"/>
          <w:sz w:val="24"/>
        </w:rPr>
        <w:t xml:space="preserve"> Carbonyl index (CI = A₁₇₁₅/A₁₄₆₅ for PE) quantifies the degree of photo-oxidative degradation, with higher CI values indicating longer environmental residence times [16].</w:t>
      </w:r>
    </w:p>
    <w:p w14:paraId="3DD61022">
      <w:pPr>
        <w:pStyle w:val="16"/>
      </w:pPr>
      <w:r>
        <w:rPr>
          <w:rFonts w:ascii="Times New Roman" w:hAnsi="Times New Roman"/>
          <w:b/>
          <w:i w:val="0"/>
          <w:sz w:val="24"/>
        </w:rPr>
        <w:t>Chain scission and cross-linking:</w:t>
      </w:r>
      <w:r>
        <w:rPr>
          <w:rFonts w:ascii="Times New Roman" w:hAnsi="Times New Roman"/>
          <w:b w:val="0"/>
          <w:i w:val="0"/>
          <w:sz w:val="24"/>
        </w:rPr>
        <w:t xml:space="preserve"> Molecular weight distribution changes, measurable by gel permeation chromatography (GPC), reflect the balance between chain scission (reducing Mw) and cross-linking (increasing Mw) during degradation [17].</w:t>
      </w:r>
    </w:p>
    <w:p w14:paraId="7B1E58A8">
      <w:pPr>
        <w:pStyle w:val="16"/>
      </w:pPr>
      <w:r>
        <w:rPr>
          <w:rFonts w:ascii="Times New Roman" w:hAnsi="Times New Roman"/>
          <w:b/>
          <w:i w:val="0"/>
          <w:sz w:val="24"/>
        </w:rPr>
        <w:t>Biofilm signatures:</w:t>
      </w:r>
      <w:r>
        <w:rPr>
          <w:rFonts w:ascii="Times New Roman" w:hAnsi="Times New Roman"/>
          <w:b w:val="0"/>
          <w:i w:val="0"/>
          <w:sz w:val="24"/>
        </w:rPr>
        <w:t xml:space="preserve"> Microbial colonization of the "plastisphere" produces characteristic proteinaceous and polysaccharide signatures detectable in FTIR and Raman spectra, indicating environmental exposure history [18].</w:t>
      </w:r>
    </w:p>
    <w:p w14:paraId="1B49C8EC">
      <w:pPr>
        <w:pStyle w:val="16"/>
      </w:pPr>
      <w:r>
        <w:rPr>
          <w:rFonts w:ascii="Times New Roman" w:hAnsi="Times New Roman"/>
          <w:b/>
          <w:i w:val="0"/>
          <w:sz w:val="24"/>
        </w:rPr>
        <w:t>Crystallinity changes:</w:t>
      </w:r>
      <w:r>
        <w:rPr>
          <w:rFonts w:ascii="Times New Roman" w:hAnsi="Times New Roman"/>
          <w:b w:val="0"/>
          <w:i w:val="0"/>
          <w:sz w:val="24"/>
        </w:rPr>
        <w:t xml:space="preserve"> Differential scanning calorimetry (DSC) and X-ray diffraction (XRD) can detect increased crystallinity resulting from preferential degradation of amorphous polymer regions [19].</w:t>
      </w:r>
    </w:p>
    <w:p w14:paraId="15E85F9C">
      <w:r>
        <w:rPr>
          <w:rFonts w:ascii="Times New Roman" w:hAnsi="Times New Roman"/>
          <w:b w:val="0"/>
          <w:i w:val="0"/>
          <w:sz w:val="24"/>
        </w:rPr>
        <w:t>These degradation markers are particularly relevant for distinguishing between recently ingested iMNPs (with minimal degradation) and particles that have undergone prolonged environmental weathering before entering the body, as the latter may carry different toxicological profiles due to altered surface chemistry and adsorbed contaminants [20].</w:t>
      </w:r>
    </w:p>
    <w:p w14:paraId="112AC8E7">
      <w:pPr>
        <w:pStyle w:val="4"/>
      </w:pPr>
      <w:r>
        <w:rPr>
          <w:rFonts w:ascii="Times New Roman" w:hAnsi="Times New Roman"/>
          <w:color w:val="000000"/>
        </w:rPr>
        <w:t>8.3 Reference Database Development</w:t>
      </w:r>
    </w:p>
    <w:p w14:paraId="03834EDB">
      <w:pPr>
        <w:pStyle w:val="5"/>
      </w:pPr>
      <w:r>
        <w:rPr>
          <w:rFonts w:ascii="Times New Roman" w:hAnsi="Times New Roman"/>
          <w:color w:val="000000"/>
        </w:rPr>
        <w:t>8.3.1 Existing Databases and Their Limitations</w:t>
      </w:r>
    </w:p>
    <w:p w14:paraId="0A69F7D4">
      <w:r>
        <w:rPr>
          <w:rFonts w:ascii="Times New Roman" w:hAnsi="Times New Roman"/>
          <w:b w:val="0"/>
          <w:i w:val="0"/>
          <w:sz w:val="24"/>
        </w:rPr>
        <w:t>Reliable identification of iMNPs requires matching experimental spectra against comprehensive reference databases. Several spectral libraries are currently available:</w:t>
      </w:r>
    </w:p>
    <w:p w14:paraId="50AA3F9E">
      <w:pPr>
        <w:pStyle w:val="16"/>
      </w:pPr>
      <w:r>
        <w:rPr>
          <w:rFonts w:ascii="Times New Roman" w:hAnsi="Times New Roman"/>
          <w:b/>
          <w:i w:val="0"/>
          <w:sz w:val="24"/>
        </w:rPr>
        <w:t>Open Specy:</w:t>
      </w:r>
      <w:r>
        <w:rPr>
          <w:rFonts w:ascii="Times New Roman" w:hAnsi="Times New Roman"/>
          <w:b w:val="0"/>
          <w:i w:val="0"/>
          <w:sz w:val="24"/>
        </w:rPr>
        <w:t xml:space="preserve"> An open-source platform providing FTIR and Raman reference spectra for &gt;400 polymer types, with automated spectral matching algorithms [21]. While freely accessible, its coverage of degraded polymers, polymer blends, and biologically altered particles remains limited.</w:t>
      </w:r>
    </w:p>
    <w:p w14:paraId="5E2B44D9">
      <w:pPr>
        <w:pStyle w:val="16"/>
      </w:pPr>
      <w:r>
        <w:rPr>
          <w:rFonts w:ascii="Times New Roman" w:hAnsi="Times New Roman"/>
          <w:b/>
          <w:i w:val="0"/>
          <w:sz w:val="24"/>
        </w:rPr>
        <w:t>KnowItAll (Wiley):</w:t>
      </w:r>
      <w:r>
        <w:rPr>
          <w:rFonts w:ascii="Times New Roman" w:hAnsi="Times New Roman"/>
          <w:b w:val="0"/>
          <w:i w:val="0"/>
          <w:sz w:val="24"/>
        </w:rPr>
        <w:t xml:space="preserve"> A commercial database containing &gt;260,000 FTIR spectra with hierarchical search capabilities. The extensive coverage comes at significant cost and may include spectra collected under different instrumental conditions [1].</w:t>
      </w:r>
    </w:p>
    <w:p w14:paraId="1299BEA3">
      <w:pPr>
        <w:pStyle w:val="16"/>
      </w:pPr>
      <w:r>
        <w:rPr>
          <w:rFonts w:ascii="Times New Roman" w:hAnsi="Times New Roman"/>
          <w:b/>
          <w:i w:val="0"/>
          <w:sz w:val="24"/>
        </w:rPr>
        <w:t>slopp and slopp-e:</w:t>
      </w:r>
      <w:r>
        <w:rPr>
          <w:rFonts w:ascii="Times New Roman" w:hAnsi="Times New Roman"/>
          <w:b w:val="0"/>
          <w:i w:val="0"/>
          <w:sz w:val="24"/>
        </w:rPr>
        <w:t xml:space="preserve"> Specialized spectral libraries for microplastics and environmental particles, developed through community curation efforts [22].</w:t>
      </w:r>
    </w:p>
    <w:p w14:paraId="6575D286">
      <w:pPr>
        <w:pStyle w:val="16"/>
      </w:pPr>
      <w:r>
        <w:rPr>
          <w:rFonts w:ascii="Times New Roman" w:hAnsi="Times New Roman"/>
          <w:b/>
          <w:i w:val="0"/>
          <w:sz w:val="24"/>
        </w:rPr>
        <w:t>Py-GC/MS Libraries:</w:t>
      </w:r>
      <w:r>
        <w:rPr>
          <w:rFonts w:ascii="Times New Roman" w:hAnsi="Times New Roman"/>
          <w:b w:val="0"/>
          <w:i w:val="0"/>
          <w:sz w:val="24"/>
        </w:rPr>
        <w:t xml:space="preserve"> NIST and Wiley mass spectral databases provide pyrolysis product identification, but dedicated pyrolysis product libraries for aged/degraded polymers are scarce [23].</w:t>
      </w:r>
    </w:p>
    <w:p w14:paraId="7370B4A7">
      <w:r>
        <w:rPr>
          <w:rFonts w:ascii="Times New Roman" w:hAnsi="Times New Roman"/>
          <w:b/>
          <w:i w:val="0"/>
          <w:sz w:val="24"/>
        </w:rPr>
        <w:t>Key limitations of existing databases include:</w:t>
      </w:r>
    </w:p>
    <w:p w14:paraId="7465D0B4">
      <w:pPr>
        <w:pStyle w:val="14"/>
      </w:pPr>
      <w:r>
        <w:rPr>
          <w:rFonts w:ascii="Times New Roman" w:hAnsi="Times New Roman"/>
          <w:b/>
          <w:i w:val="0"/>
          <w:sz w:val="24"/>
        </w:rPr>
        <w:t>Bias toward pristine polymers:</w:t>
      </w:r>
      <w:r>
        <w:rPr>
          <w:rFonts w:ascii="Times New Roman" w:hAnsi="Times New Roman"/>
          <w:b w:val="0"/>
          <w:i w:val="0"/>
          <w:sz w:val="24"/>
        </w:rPr>
        <w:t xml:space="preserve"> Most reference spectra are collected from virgin materials, whereas iMNPs in biological tissues are often aged, degraded, and coated with biological corona, producing altered spectral profiles [24].</w:t>
      </w:r>
    </w:p>
    <w:p w14:paraId="6E6B2DD8">
      <w:pPr>
        <w:pStyle w:val="14"/>
      </w:pPr>
      <w:r>
        <w:rPr>
          <w:rFonts w:ascii="Times New Roman" w:hAnsi="Times New Roman"/>
          <w:b/>
          <w:i w:val="0"/>
          <w:sz w:val="24"/>
        </w:rPr>
        <w:t>Lack of biological matrix spectra:</w:t>
      </w:r>
      <w:r>
        <w:rPr>
          <w:rFonts w:ascii="Times New Roman" w:hAnsi="Times New Roman"/>
          <w:b w:val="0"/>
          <w:i w:val="0"/>
          <w:sz w:val="24"/>
        </w:rPr>
        <w:t xml:space="preserve"> Reference libraries rarely include spectra of polymers embedded in or contaminated with biological matrices (lipids, proteins, mineral deposits), which can mask diagnostic polymer bands [25].</w:t>
      </w:r>
    </w:p>
    <w:p w14:paraId="028FD37C">
      <w:pPr>
        <w:pStyle w:val="14"/>
      </w:pPr>
      <w:r>
        <w:rPr>
          <w:rFonts w:ascii="Times New Roman" w:hAnsi="Times New Roman"/>
          <w:b/>
          <w:i w:val="0"/>
          <w:sz w:val="24"/>
        </w:rPr>
        <w:t>Instrument-to-instrument variability:</w:t>
      </w:r>
      <w:r>
        <w:rPr>
          <w:rFonts w:ascii="Times New Roman" w:hAnsi="Times New Roman"/>
          <w:b w:val="0"/>
          <w:i w:val="0"/>
          <w:sz w:val="24"/>
        </w:rPr>
        <w:t xml:space="preserve"> Spectra collected on different instruments with different configurations (laser wavelength, detector type, resolution) may not be directly comparable, leading to reduced match quality [26].</w:t>
      </w:r>
    </w:p>
    <w:p w14:paraId="0699A658">
      <w:pPr>
        <w:pStyle w:val="14"/>
      </w:pPr>
      <w:r>
        <w:rPr>
          <w:rFonts w:ascii="Times New Roman" w:hAnsi="Times New Roman"/>
          <w:b/>
          <w:i w:val="0"/>
          <w:sz w:val="24"/>
        </w:rPr>
        <w:t>Limited nanoplastic coverage:</w:t>
      </w:r>
      <w:r>
        <w:rPr>
          <w:rFonts w:ascii="Times New Roman" w:hAnsi="Times New Roman"/>
          <w:b w:val="0"/>
          <w:i w:val="0"/>
          <w:sz w:val="24"/>
        </w:rPr>
        <w:t xml:space="preserve"> Databases overwhelmingly represent microplastic-scale particles; spectral characteristics of nanoplastics, which may differ due to quantum confinement effects and surface-to-volume ratio changes, are poorly represented [27].</w:t>
      </w:r>
    </w:p>
    <w:p w14:paraId="48CAD746">
      <w:pPr>
        <w:pStyle w:val="5"/>
      </w:pPr>
      <w:r>
        <w:rPr>
          <w:rFonts w:ascii="Times New Roman" w:hAnsi="Times New Roman"/>
          <w:color w:val="000000"/>
        </w:rPr>
        <w:t>8.3.2 Standardized Data Formats and Reporting Standards</w:t>
      </w:r>
    </w:p>
    <w:p w14:paraId="23E3E476">
      <w:r>
        <w:rPr>
          <w:rFonts w:ascii="Times New Roman" w:hAnsi="Times New Roman"/>
          <w:b w:val="0"/>
          <w:i w:val="0"/>
          <w:sz w:val="24"/>
        </w:rPr>
        <w:t>The field urgently requires standardized approaches to data management and reporting:</w:t>
      </w:r>
    </w:p>
    <w:p w14:paraId="1FEE9AD6">
      <w:r>
        <w:rPr>
          <w:rFonts w:ascii="Times New Roman" w:hAnsi="Times New Roman"/>
          <w:b/>
          <w:i w:val="0"/>
          <w:sz w:val="24"/>
        </w:rPr>
        <w:t>Data format standardization.</w:t>
      </w:r>
      <w:r>
        <w:rPr>
          <w:rFonts w:ascii="Times New Roman" w:hAnsi="Times New Roman"/>
          <w:b w:val="0"/>
          <w:i w:val="0"/>
          <w:sz w:val="24"/>
        </w:rPr>
        <w:t xml:space="preserve"> The adoption of open spectral data formats (JCAMP-DX for vibrational spectroscopy, mzML for mass spectrometry) with mandatory metadata fields (instrument parameters, sample preparation, matching algorithms, match quality scores) would facilitate cross-study comparisons and database interoperability [28].</w:t>
      </w:r>
    </w:p>
    <w:p w14:paraId="2F7B63AF">
      <w:r>
        <w:rPr>
          <w:rFonts w:ascii="Times New Roman" w:hAnsi="Times New Roman"/>
          <w:b/>
          <w:i w:val="0"/>
          <w:sz w:val="24"/>
        </w:rPr>
        <w:t>Minimum reporting standards.</w:t>
      </w:r>
      <w:r>
        <w:rPr>
          <w:rFonts w:ascii="Times New Roman" w:hAnsi="Times New Roman"/>
          <w:b w:val="0"/>
          <w:i w:val="0"/>
          <w:sz w:val="24"/>
        </w:rPr>
        <w:t xml:space="preserve"> Drawing from initiatives such as MIAPE (Minimum Information About a Proteomics Experiment), a consensus framework for iMNP studies should mandate reporting of: (a) detection limits (size and mass); (b) contamination control measures and blank correction procedures; (c) spectral match quality scores and acceptance thresholds; (d) recovery rates from spiked samples; and (e) complete particle characterization data (size, shape, polymer type, color) [38,39].</w:t>
      </w:r>
    </w:p>
    <w:p w14:paraId="5A9050B4">
      <w:r>
        <w:rPr>
          <w:rFonts w:ascii="Times New Roman" w:hAnsi="Times New Roman"/>
          <w:b/>
          <w:i w:val="0"/>
          <w:sz w:val="24"/>
        </w:rPr>
        <w:t>Quality assurance/quality control (QA/QC) programs.</w:t>
      </w:r>
      <w:r>
        <w:rPr>
          <w:rFonts w:ascii="Times New Roman" w:hAnsi="Times New Roman"/>
          <w:b w:val="0"/>
          <w:i w:val="0"/>
          <w:sz w:val="24"/>
        </w:rPr>
        <w:t xml:space="preserve"> Inter-laboratory proficiency testing programs, analogous to the QUASIMEME scheme for marine contaminants, are needed to assess and harmonize analytical performance across laboratories [29]. Early inter-comparison exercises have revealed alarming variability: a recent study found that laboratories analyzing identical samples reported particle counts varying by up to 3 orders of magnitude [30].</w:t>
      </w:r>
    </w:p>
    <w:p w14:paraId="33DB63B4">
      <w:pPr>
        <w:ind w:left="567"/>
      </w:pPr>
      <w:r>
        <w:rPr>
          <w:rFonts w:ascii="Times New Roman" w:hAnsi="Times New Roman"/>
          <w:b w:val="0"/>
          <w:i/>
          <w:sz w:val="20"/>
        </w:rPr>
        <w:t>Table 8.1 summarizes the principal analytical methods for iMNP detection in biological tissues, including their capabilities, limitations, and recommended applications.</w:t>
      </w:r>
    </w:p>
    <w:p w14:paraId="5AE4309F">
      <w:pPr>
        <w:jc w:val="center"/>
      </w:pPr>
      <w:r>
        <w:rPr>
          <w:rFonts w:ascii="Times New Roman" w:hAnsi="Times New Roman"/>
          <w:b/>
          <w:i w:val="0"/>
          <w:sz w:val="20"/>
        </w:rPr>
        <w:t>Table 8.1. Comparison of Analytical Methods for iMNP Detection in Biological Tissues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0"/>
        <w:gridCol w:w="1170"/>
        <w:gridCol w:w="1170"/>
        <w:gridCol w:w="1170"/>
        <w:gridCol w:w="1170"/>
        <w:gridCol w:w="1170"/>
        <w:gridCol w:w="1170"/>
        <w:gridCol w:w="1238"/>
      </w:tblGrid>
      <w:tr w14:paraId="68B51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0" w:type="dxa"/>
            <w:shd w:val="clear" w:color="auto" w:fill="D9E2F3"/>
          </w:tcPr>
          <w:p w14:paraId="73661DB8">
            <w:pPr>
              <w:jc w:val="center"/>
            </w:pPr>
            <w:r>
              <w:rPr>
                <w:rFonts w:ascii="Times New Roman" w:hAnsi="Times New Roman"/>
                <w:b/>
                <w:i w:val="0"/>
                <w:sz w:val="16"/>
              </w:rPr>
              <w:t>Method</w:t>
            </w:r>
          </w:p>
        </w:tc>
        <w:tc>
          <w:tcPr>
            <w:tcW w:w="1170" w:type="dxa"/>
            <w:shd w:val="clear" w:color="auto" w:fill="D9E2F3"/>
          </w:tcPr>
          <w:p w14:paraId="7D17A790">
            <w:pPr>
              <w:jc w:val="center"/>
            </w:pPr>
            <w:r>
              <w:rPr>
                <w:rFonts w:ascii="Times New Roman" w:hAnsi="Times New Roman"/>
                <w:b/>
                <w:i w:val="0"/>
                <w:sz w:val="16"/>
              </w:rPr>
              <w:t>Size Range</w:t>
            </w:r>
          </w:p>
        </w:tc>
        <w:tc>
          <w:tcPr>
            <w:tcW w:w="1170" w:type="dxa"/>
            <w:shd w:val="clear" w:color="auto" w:fill="D9E2F3"/>
          </w:tcPr>
          <w:p w14:paraId="34162769">
            <w:pPr>
              <w:jc w:val="center"/>
            </w:pPr>
            <w:r>
              <w:rPr>
                <w:rFonts w:ascii="Times New Roman" w:hAnsi="Times New Roman"/>
                <w:b/>
                <w:i w:val="0"/>
                <w:sz w:val="16"/>
              </w:rPr>
              <w:t>Information Provided</w:t>
            </w:r>
          </w:p>
        </w:tc>
        <w:tc>
          <w:tcPr>
            <w:tcW w:w="1170" w:type="dxa"/>
            <w:shd w:val="clear" w:color="auto" w:fill="D9E2F3"/>
          </w:tcPr>
          <w:p w14:paraId="6D43DCCE">
            <w:pPr>
              <w:jc w:val="center"/>
            </w:pPr>
            <w:r>
              <w:rPr>
                <w:rFonts w:ascii="Times New Roman" w:hAnsi="Times New Roman"/>
                <w:b/>
                <w:i w:val="0"/>
                <w:sz w:val="16"/>
              </w:rPr>
              <w:t>Destructive?</w:t>
            </w:r>
          </w:p>
        </w:tc>
        <w:tc>
          <w:tcPr>
            <w:tcW w:w="1170" w:type="dxa"/>
            <w:shd w:val="clear" w:color="auto" w:fill="D9E2F3"/>
          </w:tcPr>
          <w:p w14:paraId="589746F1">
            <w:pPr>
              <w:jc w:val="center"/>
            </w:pPr>
            <w:r>
              <w:rPr>
                <w:rFonts w:ascii="Times New Roman" w:hAnsi="Times New Roman"/>
                <w:b/>
                <w:i w:val="0"/>
                <w:sz w:val="16"/>
              </w:rPr>
              <w:t>Throughput</w:t>
            </w:r>
          </w:p>
        </w:tc>
        <w:tc>
          <w:tcPr>
            <w:tcW w:w="1170" w:type="dxa"/>
            <w:shd w:val="clear" w:color="auto" w:fill="D9E2F3"/>
          </w:tcPr>
          <w:p w14:paraId="1A63C922">
            <w:pPr>
              <w:jc w:val="center"/>
            </w:pPr>
            <w:r>
              <w:rPr>
                <w:rFonts w:ascii="Times New Roman" w:hAnsi="Times New Roman"/>
                <w:b/>
                <w:i w:val="0"/>
                <w:sz w:val="16"/>
              </w:rPr>
              <w:t>Key Advantages</w:t>
            </w:r>
          </w:p>
        </w:tc>
        <w:tc>
          <w:tcPr>
            <w:tcW w:w="1170" w:type="dxa"/>
            <w:shd w:val="clear" w:color="auto" w:fill="D9E2F3"/>
          </w:tcPr>
          <w:p w14:paraId="6075AE6A">
            <w:pPr>
              <w:jc w:val="center"/>
            </w:pPr>
            <w:r>
              <w:rPr>
                <w:rFonts w:ascii="Times New Roman" w:hAnsi="Times New Roman"/>
                <w:b/>
                <w:i w:val="0"/>
                <w:sz w:val="16"/>
              </w:rPr>
              <w:t>Key Limitations</w:t>
            </w:r>
          </w:p>
        </w:tc>
        <w:tc>
          <w:tcPr>
            <w:tcW w:w="1170" w:type="dxa"/>
            <w:shd w:val="clear" w:color="auto" w:fill="D9E2F3"/>
          </w:tcPr>
          <w:p w14:paraId="6617501E">
            <w:pPr>
              <w:jc w:val="center"/>
            </w:pPr>
            <w:r>
              <w:rPr>
                <w:rFonts w:ascii="Times New Roman" w:hAnsi="Times New Roman"/>
                <w:b/>
                <w:i w:val="0"/>
                <w:sz w:val="16"/>
              </w:rPr>
              <w:t>Recommended Application</w:t>
            </w:r>
          </w:p>
        </w:tc>
      </w:tr>
      <w:tr w14:paraId="36C50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0" w:type="dxa"/>
          </w:tcPr>
          <w:p w14:paraId="1250CB83">
            <w:pPr>
              <w:jc w:val="center"/>
            </w:pPr>
            <w:r>
              <w:rPr>
                <w:rFonts w:ascii="Times New Roman" w:hAnsi="Times New Roman"/>
                <w:b w:val="0"/>
                <w:i w:val="0"/>
                <w:sz w:val="16"/>
              </w:rPr>
              <w:t>μ-FTIR</w:t>
            </w:r>
          </w:p>
        </w:tc>
        <w:tc>
          <w:tcPr>
            <w:tcW w:w="1170" w:type="dxa"/>
          </w:tcPr>
          <w:p w14:paraId="67480085">
            <w:pPr>
              <w:jc w:val="center"/>
            </w:pPr>
            <w:r>
              <w:rPr>
                <w:rFonts w:ascii="Times New Roman" w:hAnsi="Times New Roman"/>
                <w:b w:val="0"/>
                <w:i w:val="0"/>
                <w:sz w:val="16"/>
              </w:rPr>
              <w:t>&gt;3–10 μm</w:t>
            </w:r>
          </w:p>
        </w:tc>
        <w:tc>
          <w:tcPr>
            <w:tcW w:w="1170" w:type="dxa"/>
          </w:tcPr>
          <w:p w14:paraId="2F5C3DC5">
            <w:pPr>
              <w:jc w:val="center"/>
            </w:pPr>
            <w:r>
              <w:rPr>
                <w:rFonts w:ascii="Times New Roman" w:hAnsi="Times New Roman"/>
                <w:b w:val="0"/>
                <w:i w:val="0"/>
                <w:sz w:val="16"/>
              </w:rPr>
              <w:t>Polymer ID, particle morphology</w:t>
            </w:r>
          </w:p>
        </w:tc>
        <w:tc>
          <w:tcPr>
            <w:tcW w:w="1170" w:type="dxa"/>
          </w:tcPr>
          <w:p w14:paraId="08C835F8">
            <w:pPr>
              <w:jc w:val="center"/>
            </w:pPr>
            <w:r>
              <w:rPr>
                <w:rFonts w:ascii="Times New Roman" w:hAnsi="Times New Roman"/>
                <w:b w:val="0"/>
                <w:i w:val="0"/>
                <w:sz w:val="16"/>
              </w:rPr>
              <w:t>No</w:t>
            </w:r>
          </w:p>
        </w:tc>
        <w:tc>
          <w:tcPr>
            <w:tcW w:w="1170" w:type="dxa"/>
          </w:tcPr>
          <w:p w14:paraId="022A11C1">
            <w:pPr>
              <w:jc w:val="center"/>
            </w:pPr>
            <w:r>
              <w:rPr>
                <w:rFonts w:ascii="Times New Roman" w:hAnsi="Times New Roman"/>
                <w:b w:val="0"/>
                <w:i w:val="0"/>
                <w:sz w:val="16"/>
              </w:rPr>
              <w:t>Medium</w:t>
            </w:r>
          </w:p>
        </w:tc>
        <w:tc>
          <w:tcPr>
            <w:tcW w:w="1170" w:type="dxa"/>
          </w:tcPr>
          <w:p w14:paraId="49333052">
            <w:pPr>
              <w:jc w:val="center"/>
            </w:pPr>
            <w:r>
              <w:rPr>
                <w:rFonts w:ascii="Times New Roman" w:hAnsi="Times New Roman"/>
                <w:b w:val="0"/>
                <w:i w:val="0"/>
                <w:sz w:val="16"/>
              </w:rPr>
              <w:t>Well-established, automated imaging, extensive libraries</w:t>
            </w:r>
          </w:p>
        </w:tc>
        <w:tc>
          <w:tcPr>
            <w:tcW w:w="1170" w:type="dxa"/>
          </w:tcPr>
          <w:p w14:paraId="74F40F0A">
            <w:pPr>
              <w:jc w:val="center"/>
            </w:pPr>
            <w:r>
              <w:rPr>
                <w:rFonts w:ascii="Times New Roman" w:hAnsi="Times New Roman"/>
                <w:b w:val="0"/>
                <w:i w:val="0"/>
                <w:sz w:val="16"/>
              </w:rPr>
              <w:t>Diffraction-limited resolution, water interference</w:t>
            </w:r>
          </w:p>
        </w:tc>
        <w:tc>
          <w:tcPr>
            <w:tcW w:w="1170" w:type="dxa"/>
          </w:tcPr>
          <w:p w14:paraId="0F14F72F">
            <w:pPr>
              <w:jc w:val="center"/>
            </w:pPr>
            <w:r>
              <w:rPr>
                <w:rFonts w:ascii="Times New Roman" w:hAnsi="Times New Roman"/>
                <w:b w:val="0"/>
                <w:i w:val="0"/>
                <w:sz w:val="16"/>
              </w:rPr>
              <w:t>Screening of MPs in tissue sections</w:t>
            </w:r>
          </w:p>
        </w:tc>
      </w:tr>
      <w:tr w14:paraId="225A4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0" w:type="dxa"/>
          </w:tcPr>
          <w:p w14:paraId="5159099C">
            <w:pPr>
              <w:jc w:val="center"/>
            </w:pPr>
            <w:r>
              <w:rPr>
                <w:rFonts w:ascii="Times New Roman" w:hAnsi="Times New Roman"/>
                <w:b w:val="0"/>
                <w:i w:val="0"/>
                <w:sz w:val="16"/>
              </w:rPr>
              <w:t>ATR-FTIR</w:t>
            </w:r>
          </w:p>
        </w:tc>
        <w:tc>
          <w:tcPr>
            <w:tcW w:w="1170" w:type="dxa"/>
          </w:tcPr>
          <w:p w14:paraId="7377E620">
            <w:pPr>
              <w:jc w:val="center"/>
            </w:pPr>
            <w:r>
              <w:rPr>
                <w:rFonts w:ascii="Times New Roman" w:hAnsi="Times New Roman"/>
                <w:b w:val="0"/>
                <w:i w:val="0"/>
                <w:sz w:val="16"/>
              </w:rPr>
              <w:t>&gt;50 μm</w:t>
            </w:r>
          </w:p>
        </w:tc>
        <w:tc>
          <w:tcPr>
            <w:tcW w:w="1170" w:type="dxa"/>
          </w:tcPr>
          <w:p w14:paraId="50F7F5B3">
            <w:pPr>
              <w:jc w:val="center"/>
            </w:pPr>
            <w:r>
              <w:rPr>
                <w:rFonts w:ascii="Times New Roman" w:hAnsi="Times New Roman"/>
                <w:b w:val="0"/>
                <w:i w:val="0"/>
                <w:sz w:val="16"/>
              </w:rPr>
              <w:t>Polymer ID, surface chemistry</w:t>
            </w:r>
          </w:p>
        </w:tc>
        <w:tc>
          <w:tcPr>
            <w:tcW w:w="1170" w:type="dxa"/>
          </w:tcPr>
          <w:p w14:paraId="09FF783B">
            <w:pPr>
              <w:jc w:val="center"/>
            </w:pPr>
            <w:r>
              <w:rPr>
                <w:rFonts w:ascii="Times New Roman" w:hAnsi="Times New Roman"/>
                <w:b w:val="0"/>
                <w:i w:val="0"/>
                <w:sz w:val="16"/>
              </w:rPr>
              <w:t>No</w:t>
            </w:r>
          </w:p>
        </w:tc>
        <w:tc>
          <w:tcPr>
            <w:tcW w:w="1170" w:type="dxa"/>
          </w:tcPr>
          <w:p w14:paraId="4D126D1F">
            <w:pPr>
              <w:jc w:val="center"/>
            </w:pPr>
            <w:r>
              <w:rPr>
                <w:rFonts w:ascii="Times New Roman" w:hAnsi="Times New Roman"/>
                <w:b w:val="0"/>
                <w:i w:val="0"/>
                <w:sz w:val="16"/>
              </w:rPr>
              <w:t>High</w:t>
            </w:r>
          </w:p>
        </w:tc>
        <w:tc>
          <w:tcPr>
            <w:tcW w:w="1170" w:type="dxa"/>
          </w:tcPr>
          <w:p w14:paraId="6A2E60EF">
            <w:pPr>
              <w:jc w:val="center"/>
            </w:pPr>
            <w:r>
              <w:rPr>
                <w:rFonts w:ascii="Times New Roman" w:hAnsi="Times New Roman"/>
                <w:b w:val="0"/>
                <w:i w:val="0"/>
                <w:sz w:val="16"/>
              </w:rPr>
              <w:t>Minimal preparation, rapid</w:t>
            </w:r>
          </w:p>
        </w:tc>
        <w:tc>
          <w:tcPr>
            <w:tcW w:w="1170" w:type="dxa"/>
          </w:tcPr>
          <w:p w14:paraId="39A6C730">
            <w:pPr>
              <w:jc w:val="center"/>
            </w:pPr>
            <w:r>
              <w:rPr>
                <w:rFonts w:ascii="Times New Roman" w:hAnsi="Times New Roman"/>
                <w:b w:val="0"/>
                <w:i w:val="0"/>
                <w:sz w:val="16"/>
              </w:rPr>
              <w:t>Large particle bias, single-point analysis</w:t>
            </w:r>
          </w:p>
        </w:tc>
        <w:tc>
          <w:tcPr>
            <w:tcW w:w="1170" w:type="dxa"/>
          </w:tcPr>
          <w:p w14:paraId="38F89C24">
            <w:pPr>
              <w:jc w:val="center"/>
            </w:pPr>
            <w:r>
              <w:rPr>
                <w:rFonts w:ascii="Times New Roman" w:hAnsi="Times New Roman"/>
                <w:b w:val="0"/>
                <w:i w:val="0"/>
                <w:sz w:val="16"/>
              </w:rPr>
              <w:t>Rapid identification of individual large particles</w:t>
            </w:r>
          </w:p>
        </w:tc>
      </w:tr>
      <w:tr w14:paraId="02873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0" w:type="dxa"/>
          </w:tcPr>
          <w:p w14:paraId="2BA0E28B">
            <w:pPr>
              <w:jc w:val="center"/>
            </w:pPr>
            <w:r>
              <w:rPr>
                <w:rFonts w:ascii="Times New Roman" w:hAnsi="Times New Roman"/>
                <w:b w:val="0"/>
                <w:i w:val="0"/>
                <w:sz w:val="16"/>
              </w:rPr>
              <w:t>μ-Raman</w:t>
            </w:r>
          </w:p>
        </w:tc>
        <w:tc>
          <w:tcPr>
            <w:tcW w:w="1170" w:type="dxa"/>
          </w:tcPr>
          <w:p w14:paraId="5382E6A2">
            <w:pPr>
              <w:jc w:val="center"/>
            </w:pPr>
            <w:r>
              <w:rPr>
                <w:rFonts w:ascii="Times New Roman" w:hAnsi="Times New Roman"/>
                <w:b w:val="0"/>
                <w:i w:val="0"/>
                <w:sz w:val="16"/>
              </w:rPr>
              <w:t>&gt;1 μm</w:t>
            </w:r>
          </w:p>
        </w:tc>
        <w:tc>
          <w:tcPr>
            <w:tcW w:w="1170" w:type="dxa"/>
          </w:tcPr>
          <w:p w14:paraId="05672571">
            <w:pPr>
              <w:jc w:val="center"/>
            </w:pPr>
            <w:r>
              <w:rPr>
                <w:rFonts w:ascii="Times New Roman" w:hAnsi="Times New Roman"/>
                <w:b w:val="0"/>
                <w:i w:val="0"/>
                <w:sz w:val="16"/>
              </w:rPr>
              <w:t>Polymer ID, particle morphology, crystallinity</w:t>
            </w:r>
          </w:p>
        </w:tc>
        <w:tc>
          <w:tcPr>
            <w:tcW w:w="1170" w:type="dxa"/>
          </w:tcPr>
          <w:p w14:paraId="047D53C1">
            <w:pPr>
              <w:jc w:val="center"/>
            </w:pPr>
            <w:r>
              <w:rPr>
                <w:rFonts w:ascii="Times New Roman" w:hAnsi="Times New Roman"/>
                <w:b w:val="0"/>
                <w:i w:val="0"/>
                <w:sz w:val="16"/>
              </w:rPr>
              <w:t>No</w:t>
            </w:r>
          </w:p>
        </w:tc>
        <w:tc>
          <w:tcPr>
            <w:tcW w:w="1170" w:type="dxa"/>
          </w:tcPr>
          <w:p w14:paraId="4C3B9A3F">
            <w:pPr>
              <w:jc w:val="center"/>
            </w:pPr>
            <w:r>
              <w:rPr>
                <w:rFonts w:ascii="Times New Roman" w:hAnsi="Times New Roman"/>
                <w:b w:val="0"/>
                <w:i w:val="0"/>
                <w:sz w:val="16"/>
              </w:rPr>
              <w:t>Low–Medium</w:t>
            </w:r>
          </w:p>
        </w:tc>
        <w:tc>
          <w:tcPr>
            <w:tcW w:w="1170" w:type="dxa"/>
          </w:tcPr>
          <w:p w14:paraId="0CBB7DF5">
            <w:pPr>
              <w:jc w:val="center"/>
            </w:pPr>
            <w:r>
              <w:rPr>
                <w:rFonts w:ascii="Times New Roman" w:hAnsi="Times New Roman"/>
                <w:b w:val="0"/>
                <w:i w:val="0"/>
                <w:sz w:val="16"/>
              </w:rPr>
              <w:t>Higher spatial resolution, water-compatible</w:t>
            </w:r>
          </w:p>
        </w:tc>
        <w:tc>
          <w:tcPr>
            <w:tcW w:w="1170" w:type="dxa"/>
          </w:tcPr>
          <w:p w14:paraId="309DFD1C">
            <w:pPr>
              <w:jc w:val="center"/>
            </w:pPr>
            <w:r>
              <w:rPr>
                <w:rFonts w:ascii="Times New Roman" w:hAnsi="Times New Roman"/>
                <w:b w:val="0"/>
                <w:i w:val="0"/>
                <w:sz w:val="16"/>
              </w:rPr>
              <w:t>Fluorescence interference, slow mapping</w:t>
            </w:r>
          </w:p>
        </w:tc>
        <w:tc>
          <w:tcPr>
            <w:tcW w:w="1170" w:type="dxa"/>
          </w:tcPr>
          <w:p w14:paraId="0EF31D0E">
            <w:pPr>
              <w:jc w:val="center"/>
            </w:pPr>
            <w:r>
              <w:rPr>
                <w:rFonts w:ascii="Times New Roman" w:hAnsi="Times New Roman"/>
                <w:b w:val="0"/>
                <w:i w:val="0"/>
                <w:sz w:val="16"/>
              </w:rPr>
              <w:t>Detailed characterization of small MPs</w:t>
            </w:r>
          </w:p>
        </w:tc>
      </w:tr>
      <w:tr w14:paraId="7A9A3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0" w:type="dxa"/>
          </w:tcPr>
          <w:p w14:paraId="639A2D77">
            <w:pPr>
              <w:jc w:val="center"/>
            </w:pPr>
            <w:r>
              <w:rPr>
                <w:rFonts w:ascii="Times New Roman" w:hAnsi="Times New Roman"/>
                <w:b w:val="0"/>
                <w:i w:val="0"/>
                <w:sz w:val="16"/>
              </w:rPr>
              <w:t>Py-GC/MS</w:t>
            </w:r>
          </w:p>
        </w:tc>
        <w:tc>
          <w:tcPr>
            <w:tcW w:w="1170" w:type="dxa"/>
          </w:tcPr>
          <w:p w14:paraId="60EC6D6C">
            <w:pPr>
              <w:jc w:val="center"/>
            </w:pPr>
            <w:r>
              <w:rPr>
                <w:rFonts w:ascii="Times New Roman" w:hAnsi="Times New Roman"/>
                <w:b w:val="0"/>
                <w:i w:val="0"/>
                <w:sz w:val="16"/>
              </w:rPr>
              <w:t>No limit (mass-based)</w:t>
            </w:r>
          </w:p>
        </w:tc>
        <w:tc>
          <w:tcPr>
            <w:tcW w:w="1170" w:type="dxa"/>
          </w:tcPr>
          <w:p w14:paraId="0D9BEFEA">
            <w:pPr>
              <w:jc w:val="center"/>
            </w:pPr>
            <w:r>
              <w:rPr>
                <w:rFonts w:ascii="Times New Roman" w:hAnsi="Times New Roman"/>
                <w:b w:val="0"/>
                <w:i w:val="0"/>
                <w:sz w:val="16"/>
              </w:rPr>
              <w:t>Polymer type, mass concentration</w:t>
            </w:r>
          </w:p>
        </w:tc>
        <w:tc>
          <w:tcPr>
            <w:tcW w:w="1170" w:type="dxa"/>
          </w:tcPr>
          <w:p w14:paraId="1EF3D85C">
            <w:pPr>
              <w:jc w:val="center"/>
            </w:pPr>
            <w:r>
              <w:rPr>
                <w:rFonts w:ascii="Times New Roman" w:hAnsi="Times New Roman"/>
                <w:b w:val="0"/>
                <w:i w:val="0"/>
                <w:sz w:val="16"/>
              </w:rPr>
              <w:t>Yes</w:t>
            </w:r>
          </w:p>
        </w:tc>
        <w:tc>
          <w:tcPr>
            <w:tcW w:w="1170" w:type="dxa"/>
          </w:tcPr>
          <w:p w14:paraId="5DF57F9F">
            <w:pPr>
              <w:jc w:val="center"/>
            </w:pPr>
            <w:r>
              <w:rPr>
                <w:rFonts w:ascii="Times New Roman" w:hAnsi="Times New Roman"/>
                <w:b w:val="0"/>
                <w:i w:val="0"/>
                <w:sz w:val="16"/>
              </w:rPr>
              <w:t>Medium</w:t>
            </w:r>
          </w:p>
        </w:tc>
        <w:tc>
          <w:tcPr>
            <w:tcW w:w="1170" w:type="dxa"/>
          </w:tcPr>
          <w:p w14:paraId="78B68441">
            <w:pPr>
              <w:jc w:val="center"/>
            </w:pPr>
            <w:r>
              <w:rPr>
                <w:rFonts w:ascii="Times New Roman" w:hAnsi="Times New Roman"/>
                <w:b w:val="0"/>
                <w:i w:val="0"/>
                <w:sz w:val="16"/>
              </w:rPr>
              <w:t>NP-capable, quantitative mass data</w:t>
            </w:r>
          </w:p>
        </w:tc>
        <w:tc>
          <w:tcPr>
            <w:tcW w:w="1170" w:type="dxa"/>
          </w:tcPr>
          <w:p w14:paraId="2B721980">
            <w:pPr>
              <w:jc w:val="center"/>
            </w:pPr>
            <w:r>
              <w:rPr>
                <w:rFonts w:ascii="Times New Roman" w:hAnsi="Times New Roman"/>
                <w:b w:val="0"/>
                <w:i w:val="0"/>
                <w:sz w:val="16"/>
              </w:rPr>
              <w:t>No morphological data, destructive</w:t>
            </w:r>
          </w:p>
        </w:tc>
        <w:tc>
          <w:tcPr>
            <w:tcW w:w="1170" w:type="dxa"/>
          </w:tcPr>
          <w:p w14:paraId="39BC25B2">
            <w:pPr>
              <w:jc w:val="center"/>
            </w:pPr>
            <w:r>
              <w:rPr>
                <w:rFonts w:ascii="Times New Roman" w:hAnsi="Times New Roman"/>
                <w:b w:val="0"/>
                <w:i w:val="0"/>
                <w:sz w:val="16"/>
              </w:rPr>
              <w:t>Quantifying total polymer mass in tissue</w:t>
            </w:r>
          </w:p>
        </w:tc>
      </w:tr>
      <w:tr w14:paraId="4BBF3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0" w:type="dxa"/>
          </w:tcPr>
          <w:p w14:paraId="5BB53A8E">
            <w:pPr>
              <w:jc w:val="center"/>
            </w:pPr>
            <w:r>
              <w:rPr>
                <w:rFonts w:ascii="Times New Roman" w:hAnsi="Times New Roman"/>
                <w:b w:val="0"/>
                <w:i w:val="0"/>
                <w:sz w:val="16"/>
              </w:rPr>
              <w:t>TED-GC/MS</w:t>
            </w:r>
          </w:p>
        </w:tc>
        <w:tc>
          <w:tcPr>
            <w:tcW w:w="1170" w:type="dxa"/>
          </w:tcPr>
          <w:p w14:paraId="03D23BEB">
            <w:pPr>
              <w:jc w:val="center"/>
            </w:pPr>
            <w:r>
              <w:rPr>
                <w:rFonts w:ascii="Times New Roman" w:hAnsi="Times New Roman"/>
                <w:b w:val="0"/>
                <w:i w:val="0"/>
                <w:sz w:val="16"/>
              </w:rPr>
              <w:t>No limit (mass-based)</w:t>
            </w:r>
          </w:p>
        </w:tc>
        <w:tc>
          <w:tcPr>
            <w:tcW w:w="1170" w:type="dxa"/>
          </w:tcPr>
          <w:p w14:paraId="24E8BD5D">
            <w:pPr>
              <w:jc w:val="center"/>
            </w:pPr>
            <w:r>
              <w:rPr>
                <w:rFonts w:ascii="Times New Roman" w:hAnsi="Times New Roman"/>
                <w:b w:val="0"/>
                <w:i w:val="0"/>
                <w:sz w:val="16"/>
              </w:rPr>
              <w:t>Polymer type, mass concentration</w:t>
            </w:r>
          </w:p>
        </w:tc>
        <w:tc>
          <w:tcPr>
            <w:tcW w:w="1170" w:type="dxa"/>
          </w:tcPr>
          <w:p w14:paraId="3BC34A13">
            <w:pPr>
              <w:jc w:val="center"/>
            </w:pPr>
            <w:r>
              <w:rPr>
                <w:rFonts w:ascii="Times New Roman" w:hAnsi="Times New Roman"/>
                <w:b w:val="0"/>
                <w:i w:val="0"/>
                <w:sz w:val="16"/>
              </w:rPr>
              <w:t>Yes</w:t>
            </w:r>
          </w:p>
        </w:tc>
        <w:tc>
          <w:tcPr>
            <w:tcW w:w="1170" w:type="dxa"/>
          </w:tcPr>
          <w:p w14:paraId="3256F090">
            <w:pPr>
              <w:jc w:val="center"/>
            </w:pPr>
            <w:r>
              <w:rPr>
                <w:rFonts w:ascii="Times New Roman" w:hAnsi="Times New Roman"/>
                <w:b w:val="0"/>
                <w:i w:val="0"/>
                <w:sz w:val="16"/>
              </w:rPr>
              <w:t>High</w:t>
            </w:r>
          </w:p>
        </w:tc>
        <w:tc>
          <w:tcPr>
            <w:tcW w:w="1170" w:type="dxa"/>
          </w:tcPr>
          <w:p w14:paraId="5B30E33C">
            <w:pPr>
              <w:jc w:val="center"/>
            </w:pPr>
            <w:r>
              <w:rPr>
                <w:rFonts w:ascii="Times New Roman" w:hAnsi="Times New Roman"/>
                <w:b w:val="0"/>
                <w:i w:val="0"/>
                <w:sz w:val="16"/>
              </w:rPr>
              <w:t>Larger sample volumes, NP-capable</w:t>
            </w:r>
          </w:p>
        </w:tc>
        <w:tc>
          <w:tcPr>
            <w:tcW w:w="1170" w:type="dxa"/>
          </w:tcPr>
          <w:p w14:paraId="7DCBB5F5">
            <w:pPr>
              <w:jc w:val="center"/>
            </w:pPr>
            <w:r>
              <w:rPr>
                <w:rFonts w:ascii="Times New Roman" w:hAnsi="Times New Roman"/>
                <w:b w:val="0"/>
                <w:i w:val="0"/>
                <w:sz w:val="16"/>
              </w:rPr>
              <w:t>Less sensitive for trace levels</w:t>
            </w:r>
          </w:p>
        </w:tc>
        <w:tc>
          <w:tcPr>
            <w:tcW w:w="1170" w:type="dxa"/>
          </w:tcPr>
          <w:p w14:paraId="41B3627D">
            <w:pPr>
              <w:jc w:val="center"/>
            </w:pPr>
            <w:r>
              <w:rPr>
                <w:rFonts w:ascii="Times New Roman" w:hAnsi="Times New Roman"/>
                <w:b w:val="0"/>
                <w:i w:val="0"/>
                <w:sz w:val="16"/>
              </w:rPr>
              <w:t>High-throughput screening</w:t>
            </w:r>
          </w:p>
        </w:tc>
      </w:tr>
      <w:tr w14:paraId="6C5DE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0" w:type="dxa"/>
          </w:tcPr>
          <w:p w14:paraId="047CC7F0">
            <w:pPr>
              <w:jc w:val="center"/>
            </w:pPr>
            <w:r>
              <w:rPr>
                <w:rFonts w:ascii="Times New Roman" w:hAnsi="Times New Roman"/>
                <w:b w:val="0"/>
                <w:i w:val="0"/>
                <w:sz w:val="16"/>
              </w:rPr>
              <w:t>SEM-EDX</w:t>
            </w:r>
          </w:p>
        </w:tc>
        <w:tc>
          <w:tcPr>
            <w:tcW w:w="1170" w:type="dxa"/>
          </w:tcPr>
          <w:p w14:paraId="24352F4A">
            <w:pPr>
              <w:jc w:val="center"/>
            </w:pPr>
            <w:r>
              <w:rPr>
                <w:rFonts w:ascii="Times New Roman" w:hAnsi="Times New Roman"/>
                <w:b w:val="0"/>
                <w:i w:val="0"/>
                <w:sz w:val="16"/>
              </w:rPr>
              <w:t>&gt;100 nm</w:t>
            </w:r>
          </w:p>
        </w:tc>
        <w:tc>
          <w:tcPr>
            <w:tcW w:w="1170" w:type="dxa"/>
          </w:tcPr>
          <w:p w14:paraId="1E3964BC">
            <w:pPr>
              <w:jc w:val="center"/>
            </w:pPr>
            <w:r>
              <w:rPr>
                <w:rFonts w:ascii="Times New Roman" w:hAnsi="Times New Roman"/>
                <w:b w:val="0"/>
                <w:i w:val="0"/>
                <w:sz w:val="16"/>
              </w:rPr>
              <w:t>Morphology, elemental composition</w:t>
            </w:r>
          </w:p>
        </w:tc>
        <w:tc>
          <w:tcPr>
            <w:tcW w:w="1170" w:type="dxa"/>
          </w:tcPr>
          <w:p w14:paraId="69103FF6">
            <w:pPr>
              <w:jc w:val="center"/>
            </w:pPr>
            <w:r>
              <w:rPr>
                <w:rFonts w:ascii="Times New Roman" w:hAnsi="Times New Roman"/>
                <w:b w:val="0"/>
                <w:i w:val="0"/>
                <w:sz w:val="16"/>
              </w:rPr>
              <w:t>No</w:t>
            </w:r>
          </w:p>
        </w:tc>
        <w:tc>
          <w:tcPr>
            <w:tcW w:w="1170" w:type="dxa"/>
          </w:tcPr>
          <w:p w14:paraId="6298E2DC">
            <w:pPr>
              <w:jc w:val="center"/>
            </w:pPr>
            <w:r>
              <w:rPr>
                <w:rFonts w:ascii="Times New Roman" w:hAnsi="Times New Roman"/>
                <w:b w:val="0"/>
                <w:i w:val="0"/>
                <w:sz w:val="16"/>
              </w:rPr>
              <w:t>Low</w:t>
            </w:r>
          </w:p>
        </w:tc>
        <w:tc>
          <w:tcPr>
            <w:tcW w:w="1170" w:type="dxa"/>
          </w:tcPr>
          <w:p w14:paraId="0F82EFA0">
            <w:pPr>
              <w:jc w:val="center"/>
            </w:pPr>
            <w:r>
              <w:rPr>
                <w:rFonts w:ascii="Times New Roman" w:hAnsi="Times New Roman"/>
                <w:b w:val="0"/>
                <w:i w:val="0"/>
                <w:sz w:val="16"/>
              </w:rPr>
              <w:t>Nanoscale imaging, elemental analysis</w:t>
            </w:r>
          </w:p>
        </w:tc>
        <w:tc>
          <w:tcPr>
            <w:tcW w:w="1170" w:type="dxa"/>
          </w:tcPr>
          <w:p w14:paraId="184C8E98">
            <w:pPr>
              <w:jc w:val="center"/>
            </w:pPr>
            <w:r>
              <w:rPr>
                <w:rFonts w:ascii="Times New Roman" w:hAnsi="Times New Roman"/>
                <w:b w:val="0"/>
                <w:i w:val="0"/>
                <w:sz w:val="16"/>
              </w:rPr>
              <w:t>No polymer identification</w:t>
            </w:r>
          </w:p>
        </w:tc>
        <w:tc>
          <w:tcPr>
            <w:tcW w:w="1170" w:type="dxa"/>
          </w:tcPr>
          <w:p w14:paraId="6E9EBD2D">
            <w:pPr>
              <w:jc w:val="center"/>
            </w:pPr>
            <w:r>
              <w:rPr>
                <w:rFonts w:ascii="Times New Roman" w:hAnsi="Times New Roman"/>
                <w:b w:val="0"/>
                <w:i w:val="0"/>
                <w:sz w:val="16"/>
              </w:rPr>
              <w:t>Morphological characterization</w:t>
            </w:r>
          </w:p>
        </w:tc>
      </w:tr>
      <w:tr w14:paraId="08D56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0" w:type="dxa"/>
          </w:tcPr>
          <w:p w14:paraId="5C60699F">
            <w:pPr>
              <w:jc w:val="center"/>
            </w:pPr>
            <w:r>
              <w:rPr>
                <w:rFonts w:ascii="Times New Roman" w:hAnsi="Times New Roman"/>
                <w:b w:val="0"/>
                <w:i w:val="0"/>
                <w:sz w:val="16"/>
              </w:rPr>
              <w:t>TOF-SIMS</w:t>
            </w:r>
          </w:p>
        </w:tc>
        <w:tc>
          <w:tcPr>
            <w:tcW w:w="1170" w:type="dxa"/>
          </w:tcPr>
          <w:p w14:paraId="00B867FB">
            <w:pPr>
              <w:jc w:val="center"/>
            </w:pPr>
            <w:r>
              <w:rPr>
                <w:rFonts w:ascii="Times New Roman" w:hAnsi="Times New Roman"/>
                <w:b w:val="0"/>
                <w:i w:val="0"/>
                <w:sz w:val="16"/>
              </w:rPr>
              <w:t>&gt;100 nm</w:t>
            </w:r>
          </w:p>
        </w:tc>
        <w:tc>
          <w:tcPr>
            <w:tcW w:w="1170" w:type="dxa"/>
          </w:tcPr>
          <w:p w14:paraId="2AF8528C">
            <w:pPr>
              <w:jc w:val="center"/>
            </w:pPr>
            <w:r>
              <w:rPr>
                <w:rFonts w:ascii="Times New Roman" w:hAnsi="Times New Roman"/>
                <w:b w:val="0"/>
                <w:i w:val="0"/>
                <w:sz w:val="16"/>
              </w:rPr>
              <w:t>Surface chemistry, spatial mapping</w:t>
            </w:r>
          </w:p>
        </w:tc>
        <w:tc>
          <w:tcPr>
            <w:tcW w:w="1170" w:type="dxa"/>
          </w:tcPr>
          <w:p w14:paraId="54D5CBE4">
            <w:pPr>
              <w:jc w:val="center"/>
            </w:pPr>
            <w:r>
              <w:rPr>
                <w:rFonts w:ascii="Times New Roman" w:hAnsi="Times New Roman"/>
                <w:b w:val="0"/>
                <w:i w:val="0"/>
                <w:sz w:val="16"/>
              </w:rPr>
              <w:t>Partially</w:t>
            </w:r>
          </w:p>
        </w:tc>
        <w:tc>
          <w:tcPr>
            <w:tcW w:w="1170" w:type="dxa"/>
          </w:tcPr>
          <w:p w14:paraId="3AEBF1DA">
            <w:pPr>
              <w:jc w:val="center"/>
            </w:pPr>
            <w:r>
              <w:rPr>
                <w:rFonts w:ascii="Times New Roman" w:hAnsi="Times New Roman"/>
                <w:b w:val="0"/>
                <w:i w:val="0"/>
                <w:sz w:val="16"/>
              </w:rPr>
              <w:t>Low</w:t>
            </w:r>
          </w:p>
        </w:tc>
        <w:tc>
          <w:tcPr>
            <w:tcW w:w="1170" w:type="dxa"/>
          </w:tcPr>
          <w:p w14:paraId="0870FE24">
            <w:pPr>
              <w:jc w:val="center"/>
            </w:pPr>
            <w:r>
              <w:rPr>
                <w:rFonts w:ascii="Times New Roman" w:hAnsi="Times New Roman"/>
                <w:b w:val="0"/>
                <w:i w:val="0"/>
                <w:sz w:val="16"/>
              </w:rPr>
              <w:t>Nanoscale chemical imaging</w:t>
            </w:r>
          </w:p>
        </w:tc>
        <w:tc>
          <w:tcPr>
            <w:tcW w:w="1170" w:type="dxa"/>
          </w:tcPr>
          <w:p w14:paraId="12F1DEAD">
            <w:pPr>
              <w:jc w:val="center"/>
            </w:pPr>
            <w:r>
              <w:rPr>
                <w:rFonts w:ascii="Times New Roman" w:hAnsi="Times New Roman"/>
                <w:b w:val="0"/>
                <w:i w:val="0"/>
                <w:sz w:val="16"/>
              </w:rPr>
              <w:t>Complex interpretation, expensive</w:t>
            </w:r>
          </w:p>
        </w:tc>
        <w:tc>
          <w:tcPr>
            <w:tcW w:w="1170" w:type="dxa"/>
          </w:tcPr>
          <w:p w14:paraId="4B9BB576">
            <w:pPr>
              <w:jc w:val="center"/>
            </w:pPr>
            <w:r>
              <w:rPr>
                <w:rFonts w:ascii="Times New Roman" w:hAnsi="Times New Roman"/>
                <w:b w:val="0"/>
                <w:i w:val="0"/>
                <w:sz w:val="16"/>
              </w:rPr>
              <w:t>Research-level surface analysis</w:t>
            </w:r>
          </w:p>
        </w:tc>
      </w:tr>
      <w:tr w14:paraId="12167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0" w:type="dxa"/>
          </w:tcPr>
          <w:p w14:paraId="38E7D186">
            <w:pPr>
              <w:jc w:val="center"/>
            </w:pPr>
            <w:r>
              <w:rPr>
                <w:rFonts w:ascii="Times New Roman" w:hAnsi="Times New Roman"/>
                <w:b w:val="0"/>
                <w:i w:val="0"/>
                <w:sz w:val="16"/>
              </w:rPr>
              <w:t>AFM-IR</w:t>
            </w:r>
          </w:p>
        </w:tc>
        <w:tc>
          <w:tcPr>
            <w:tcW w:w="1170" w:type="dxa"/>
          </w:tcPr>
          <w:p w14:paraId="6B290FE7">
            <w:pPr>
              <w:jc w:val="center"/>
            </w:pPr>
            <w:r>
              <w:rPr>
                <w:rFonts w:ascii="Times New Roman" w:hAnsi="Times New Roman"/>
                <w:b w:val="0"/>
                <w:i w:val="0"/>
                <w:sz w:val="16"/>
              </w:rPr>
              <w:t>&gt;20 nm</w:t>
            </w:r>
          </w:p>
        </w:tc>
        <w:tc>
          <w:tcPr>
            <w:tcW w:w="1170" w:type="dxa"/>
          </w:tcPr>
          <w:p w14:paraId="020123BD">
            <w:pPr>
              <w:jc w:val="center"/>
            </w:pPr>
            <w:r>
              <w:rPr>
                <w:rFonts w:ascii="Times New Roman" w:hAnsi="Times New Roman"/>
                <w:b w:val="0"/>
                <w:i w:val="0"/>
                <w:sz w:val="16"/>
              </w:rPr>
              <w:t>Nanoscale polymer ID</w:t>
            </w:r>
          </w:p>
        </w:tc>
        <w:tc>
          <w:tcPr>
            <w:tcW w:w="1170" w:type="dxa"/>
          </w:tcPr>
          <w:p w14:paraId="1956694E">
            <w:pPr>
              <w:jc w:val="center"/>
            </w:pPr>
            <w:r>
              <w:rPr>
                <w:rFonts w:ascii="Times New Roman" w:hAnsi="Times New Roman"/>
                <w:b w:val="0"/>
                <w:i w:val="0"/>
                <w:sz w:val="16"/>
              </w:rPr>
              <w:t>No</w:t>
            </w:r>
          </w:p>
        </w:tc>
        <w:tc>
          <w:tcPr>
            <w:tcW w:w="1170" w:type="dxa"/>
          </w:tcPr>
          <w:p w14:paraId="0D5CDA6F">
            <w:pPr>
              <w:jc w:val="center"/>
            </w:pPr>
            <w:r>
              <w:rPr>
                <w:rFonts w:ascii="Times New Roman" w:hAnsi="Times New Roman"/>
                <w:b w:val="0"/>
                <w:i w:val="0"/>
                <w:sz w:val="16"/>
              </w:rPr>
              <w:t>Very low</w:t>
            </w:r>
          </w:p>
        </w:tc>
        <w:tc>
          <w:tcPr>
            <w:tcW w:w="1170" w:type="dxa"/>
          </w:tcPr>
          <w:p w14:paraId="506D6B3E">
            <w:pPr>
              <w:jc w:val="center"/>
            </w:pPr>
            <w:r>
              <w:rPr>
                <w:rFonts w:ascii="Times New Roman" w:hAnsi="Times New Roman"/>
                <w:b w:val="0"/>
                <w:i w:val="0"/>
                <w:sz w:val="16"/>
              </w:rPr>
              <w:t>Sub-diffraction chemical ID</w:t>
            </w:r>
          </w:p>
        </w:tc>
        <w:tc>
          <w:tcPr>
            <w:tcW w:w="1170" w:type="dxa"/>
          </w:tcPr>
          <w:p w14:paraId="790E81A7">
            <w:pPr>
              <w:jc w:val="center"/>
            </w:pPr>
            <w:r>
              <w:rPr>
                <w:rFonts w:ascii="Times New Roman" w:hAnsi="Times New Roman"/>
                <w:b w:val="0"/>
                <w:i w:val="0"/>
                <w:sz w:val="16"/>
              </w:rPr>
              <w:t>Extremely low throughput, specialized</w:t>
            </w:r>
          </w:p>
        </w:tc>
        <w:tc>
          <w:tcPr>
            <w:tcW w:w="1170" w:type="dxa"/>
          </w:tcPr>
          <w:p w14:paraId="539AA299">
            <w:pPr>
              <w:jc w:val="center"/>
            </w:pPr>
            <w:r>
              <w:rPr>
                <w:rFonts w:ascii="Times New Roman" w:hAnsi="Times New Roman"/>
                <w:b w:val="0"/>
                <w:i w:val="0"/>
                <w:sz w:val="16"/>
              </w:rPr>
              <w:t>Nanoplastic identification</w:t>
            </w:r>
          </w:p>
        </w:tc>
      </w:tr>
      <w:tr w14:paraId="16E32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0" w:type="dxa"/>
          </w:tcPr>
          <w:p w14:paraId="1E90EC69">
            <w:pPr>
              <w:jc w:val="center"/>
            </w:pPr>
            <w:r>
              <w:rPr>
                <w:rFonts w:ascii="Times New Roman" w:hAnsi="Times New Roman"/>
                <w:b w:val="0"/>
                <w:i w:val="0"/>
                <w:sz w:val="16"/>
              </w:rPr>
              <w:t>LDIR</w:t>
            </w:r>
          </w:p>
        </w:tc>
        <w:tc>
          <w:tcPr>
            <w:tcW w:w="1170" w:type="dxa"/>
          </w:tcPr>
          <w:p w14:paraId="3A117BCD">
            <w:pPr>
              <w:jc w:val="center"/>
            </w:pPr>
            <w:r>
              <w:rPr>
                <w:rFonts w:ascii="Times New Roman" w:hAnsi="Times New Roman"/>
                <w:b w:val="0"/>
                <w:i w:val="0"/>
                <w:sz w:val="16"/>
              </w:rPr>
              <w:t>&gt;10 μm</w:t>
            </w:r>
          </w:p>
        </w:tc>
        <w:tc>
          <w:tcPr>
            <w:tcW w:w="1170" w:type="dxa"/>
          </w:tcPr>
          <w:p w14:paraId="558AF8C5">
            <w:pPr>
              <w:jc w:val="center"/>
            </w:pPr>
            <w:r>
              <w:rPr>
                <w:rFonts w:ascii="Times New Roman" w:hAnsi="Times New Roman"/>
                <w:b w:val="0"/>
                <w:i w:val="0"/>
                <w:sz w:val="16"/>
              </w:rPr>
              <w:t>Polymer ID, automated counting</w:t>
            </w:r>
          </w:p>
        </w:tc>
        <w:tc>
          <w:tcPr>
            <w:tcW w:w="1170" w:type="dxa"/>
          </w:tcPr>
          <w:p w14:paraId="6CE64909">
            <w:pPr>
              <w:jc w:val="center"/>
            </w:pPr>
            <w:r>
              <w:rPr>
                <w:rFonts w:ascii="Times New Roman" w:hAnsi="Times New Roman"/>
                <w:b w:val="0"/>
                <w:i w:val="0"/>
                <w:sz w:val="16"/>
              </w:rPr>
              <w:t>No</w:t>
            </w:r>
          </w:p>
        </w:tc>
        <w:tc>
          <w:tcPr>
            <w:tcW w:w="1170" w:type="dxa"/>
          </w:tcPr>
          <w:p w14:paraId="2F0E6EF9">
            <w:pPr>
              <w:jc w:val="center"/>
            </w:pPr>
            <w:r>
              <w:rPr>
                <w:rFonts w:ascii="Times New Roman" w:hAnsi="Times New Roman"/>
                <w:b w:val="0"/>
                <w:i w:val="0"/>
                <w:sz w:val="16"/>
              </w:rPr>
              <w:t>Very high</w:t>
            </w:r>
          </w:p>
        </w:tc>
        <w:tc>
          <w:tcPr>
            <w:tcW w:w="1170" w:type="dxa"/>
          </w:tcPr>
          <w:p w14:paraId="11319973">
            <w:pPr>
              <w:jc w:val="center"/>
            </w:pPr>
            <w:r>
              <w:rPr>
                <w:rFonts w:ascii="Times New Roman" w:hAnsi="Times New Roman"/>
                <w:b w:val="0"/>
                <w:i w:val="0"/>
                <w:sz w:val="16"/>
              </w:rPr>
              <w:t>Fastest automated analysis</w:t>
            </w:r>
          </w:p>
        </w:tc>
        <w:tc>
          <w:tcPr>
            <w:tcW w:w="1170" w:type="dxa"/>
          </w:tcPr>
          <w:p w14:paraId="589F9DF3">
            <w:pPr>
              <w:jc w:val="center"/>
            </w:pPr>
            <w:r>
              <w:rPr>
                <w:rFonts w:ascii="Times New Roman" w:hAnsi="Times New Roman"/>
                <w:b w:val="0"/>
                <w:i w:val="0"/>
                <w:sz w:val="16"/>
              </w:rPr>
              <w:t>Lower resolution than μ-FTIR</w:t>
            </w:r>
          </w:p>
        </w:tc>
        <w:tc>
          <w:tcPr>
            <w:tcW w:w="1170" w:type="dxa"/>
          </w:tcPr>
          <w:p w14:paraId="218B28C9">
            <w:pPr>
              <w:jc w:val="center"/>
            </w:pPr>
            <w:r>
              <w:rPr>
                <w:rFonts w:ascii="Times New Roman" w:hAnsi="Times New Roman"/>
                <w:b w:val="0"/>
                <w:i w:val="0"/>
                <w:sz w:val="16"/>
              </w:rPr>
              <w:t>Large-scale surveys</w:t>
            </w:r>
          </w:p>
        </w:tc>
      </w:tr>
    </w:tbl>
    <w:p w14:paraId="7FE8DA24"/>
    <w:p w14:paraId="3566736B">
      <w:pPr>
        <w:pStyle w:val="4"/>
      </w:pPr>
      <w:r>
        <w:rPr>
          <w:rFonts w:ascii="Times New Roman" w:hAnsi="Times New Roman"/>
          <w:color w:val="000000"/>
        </w:rPr>
        <w:t>8.4 Biodistribution Studies</w:t>
      </w:r>
    </w:p>
    <w:p w14:paraId="0CDC741A"/>
    <w:p w14:paraId="5B520503">
      <w:pPr>
        <w:jc w:val="center"/>
      </w:pPr>
      <w:r>
        <w:drawing>
          <wp:inline distT="0" distB="0" distL="114300" distR="114300">
            <wp:extent cx="5303520" cy="2532380"/>
            <wp:effectExtent l="0" t="0" r="0" b="127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303520" cy="2532472"/>
                    </a:xfrm>
                    <a:prstGeom prst="rect">
                      <a:avLst/>
                    </a:prstGeom>
                  </pic:spPr>
                </pic:pic>
              </a:graphicData>
            </a:graphic>
          </wp:inline>
        </w:drawing>
      </w:r>
    </w:p>
    <w:p w14:paraId="22678435">
      <w:pPr>
        <w:jc w:val="center"/>
      </w:pPr>
      <w:r>
        <w:rPr>
          <w:rFonts w:ascii="Times New Roman" w:hAnsi="Times New Roman"/>
          <w:b w:val="0"/>
          <w:i/>
          <w:sz w:val="20"/>
        </w:rPr>
        <w:t>Figure 8.2  iMNP Biodistribution in Animal Models (Oral PS nanoparticle exposure, rodent models, 7-28 days). (A) Organ accumulation hierarchy showing percentage of administered dose retained in each organ. GI tract retains the majority (&gt;90% not systemically absorbed); liver is the primary site of systemic accumulation. (B) Size-dependent distribution across three key organs, demonstrating that smaller particles achieve greater systemic translocation while larger particles are predominantly retained in the GI tract.</w:t>
      </w:r>
    </w:p>
    <w:p w14:paraId="760E44E8"/>
    <w:p w14:paraId="460A7348">
      <w:pPr>
        <w:pStyle w:val="5"/>
      </w:pPr>
      <w:r>
        <w:rPr>
          <w:rFonts w:ascii="Times New Roman" w:hAnsi="Times New Roman"/>
          <w:color w:val="000000"/>
        </w:rPr>
        <w:t>8.4.1 Animal Model Evidence</w:t>
      </w:r>
    </w:p>
    <w:p w14:paraId="2BFD2C38">
      <w:r>
        <w:rPr>
          <w:rFonts w:ascii="Times New Roman" w:hAnsi="Times New Roman"/>
          <w:b w:val="0"/>
          <w:i w:val="0"/>
          <w:sz w:val="24"/>
        </w:rPr>
        <w:t>Animal models have been instrumental in establishing the biodistribution patterns of iMNPs following different exposure routes. These studies, primarily conducted in rodent models, provide mechanistic insights that complement observational human data.</w:t>
      </w:r>
    </w:p>
    <w:p w14:paraId="017EA06B">
      <w:r>
        <w:rPr>
          <w:rFonts w:ascii="Times New Roman" w:hAnsi="Times New Roman"/>
          <w:b/>
          <w:i w:val="0"/>
          <w:sz w:val="24"/>
        </w:rPr>
        <w:t>Oral exposure studies.</w:t>
      </w:r>
      <w:r>
        <w:rPr>
          <w:rFonts w:ascii="Times New Roman" w:hAnsi="Times New Roman"/>
          <w:b w:val="0"/>
          <w:i w:val="0"/>
          <w:sz w:val="24"/>
        </w:rPr>
        <w:t xml:space="preserve"> Deng et al. (2017) administered fluorescent polystyrene (PS) microplastics (5 μm and 20 μm) to mice via gavage and demonstrated accumulation in the liver, kidney, and gut within 28 days [31]. Smaller particles (5 μm) showed significantly higher tissue accumulation than larger particles (20 μm), establishing the principle of size-dependent biodistribution. Lu et al. (2018) reported that chronic oral PS-MP exposure in mice altered gut microbiota composition and increased hepatic lipid accumulation [32]. Stock et al. (2019) further demonstrated that orally administered PS particles (1, 4, and 10 μm) could be detected in liver, kidney, and spleen tissues of mice at 28 days, though only a minor fraction of particles translocated across the intact intestinal barrier [33].</w:t>
      </w:r>
    </w:p>
    <w:p w14:paraId="71362E33">
      <w:r>
        <w:rPr>
          <w:rFonts w:ascii="Times New Roman" w:hAnsi="Times New Roman"/>
          <w:b/>
          <w:i w:val="0"/>
          <w:sz w:val="24"/>
        </w:rPr>
        <w:t>Inhalation exposure studies.</w:t>
      </w:r>
      <w:r>
        <w:rPr>
          <w:rFonts w:ascii="Times New Roman" w:hAnsi="Times New Roman"/>
          <w:b w:val="0"/>
          <w:i w:val="0"/>
          <w:sz w:val="24"/>
        </w:rPr>
        <w:t xml:space="preserve"> Lu et al. (2021) exposed rats to aerosolized PS-MPs (1–5 μm) and observed deposition in the lung parenchyma, with translocation to mediastinal lymph nodes within 14 days [34]. Fournier et al. (2020) showed that acute lung exposure to 20 nm PS nanoplastics in late-stage pregnant rats resulted in translocation across the air-blood barrier and subsequent fetal deposition, demonstrating both pulmonary translocation and transplacental transfer [108]. Inhalation studies consistently show that particles &lt;2.5 μm penetrate deep into the alveolar region, while larger particles deposit predominantly in the upper airways and are cleared via mucociliary transport [35].</w:t>
      </w:r>
    </w:p>
    <w:p w14:paraId="36AB6E47">
      <w:r>
        <w:rPr>
          <w:rFonts w:ascii="Times New Roman" w:hAnsi="Times New Roman"/>
          <w:b/>
          <w:i w:val="0"/>
          <w:sz w:val="24"/>
        </w:rPr>
        <w:t>Intravenous administration studies.</w:t>
      </w:r>
      <w:r>
        <w:rPr>
          <w:rFonts w:ascii="Times New Roman" w:hAnsi="Times New Roman"/>
          <w:b w:val="0"/>
          <w:i w:val="0"/>
          <w:sz w:val="24"/>
        </w:rPr>
        <w:t xml:space="preserve"> Direct injection studies bypass absorption barriers and reveal the intrinsic distribution kinetics of particles within the systemic circulation. Walczak et al. (2015) demonstrated that intravenously administered PS nanoparticles (50 nm) in rats accumulated primarily in the liver (&gt;60% of dose), spleen (~15%), and lungs (~5%), with minimal renal excretion [36]. Surface charge significantly influenced biodistribution: positively charged particles showed enhanced hepatic uptake, while PEGylated particles exhibited prolonged circulation times [37].</w:t>
      </w:r>
    </w:p>
    <w:p w14:paraId="41A58DD7">
      <w:pPr>
        <w:pStyle w:val="5"/>
      </w:pPr>
      <w:r>
        <w:rPr>
          <w:rFonts w:ascii="Times New Roman" w:hAnsi="Times New Roman"/>
          <w:color w:val="000000"/>
        </w:rPr>
        <w:t>8.4.2 Organ-Specific Accumulation Patterns</w:t>
      </w:r>
    </w:p>
    <w:p w14:paraId="5C07676B">
      <w:r>
        <w:rPr>
          <w:rFonts w:ascii="Times New Roman" w:hAnsi="Times New Roman"/>
          <w:b w:val="0"/>
          <w:i w:val="0"/>
          <w:sz w:val="24"/>
        </w:rPr>
        <w:t>Synthesizing evidence across multiple animal studies, a consistent hierarchy of iMNP accumulation emerges:</w:t>
      </w:r>
    </w:p>
    <w:p w14:paraId="56007CDF">
      <w:pPr>
        <w:pStyle w:val="14"/>
      </w:pPr>
      <w:r>
        <w:rPr>
          <w:rFonts w:ascii="Times New Roman" w:hAnsi="Times New Roman"/>
          <w:b/>
          <w:i w:val="0"/>
          <w:sz w:val="24"/>
        </w:rPr>
        <w:t>Liver:</w:t>
      </w:r>
      <w:r>
        <w:rPr>
          <w:rFonts w:ascii="Times New Roman" w:hAnsi="Times New Roman"/>
          <w:b w:val="0"/>
          <w:i w:val="0"/>
          <w:sz w:val="24"/>
        </w:rPr>
        <w:t xml:space="preserve"> The liver consistently shows the highest accumulation of systemically distributed iMNPs, attributable to its role as the primary organ of the reticuloendothelial system (RES) and its fenestrated sinusoidal endothelium, which allows passage of particles up to ~100–200 nm [31,36,49].</w:t>
      </w:r>
    </w:p>
    <w:p w14:paraId="0CFB5030">
      <w:pPr>
        <w:pStyle w:val="14"/>
      </w:pPr>
      <w:r>
        <w:rPr>
          <w:rFonts w:ascii="Times New Roman" w:hAnsi="Times New Roman"/>
          <w:b/>
          <w:i w:val="0"/>
          <w:sz w:val="24"/>
        </w:rPr>
        <w:t>Gut/intestine:</w:t>
      </w:r>
      <w:r>
        <w:rPr>
          <w:rFonts w:ascii="Times New Roman" w:hAnsi="Times New Roman"/>
          <w:b w:val="0"/>
          <w:i w:val="0"/>
          <w:sz w:val="24"/>
        </w:rPr>
        <w:t xml:space="preserve"> The gastrointestinal tract retains the majority (&gt;90%) of orally administered particles, most of which transit through without systemic absorption [32,38].</w:t>
      </w:r>
    </w:p>
    <w:p w14:paraId="40E69591">
      <w:pPr>
        <w:pStyle w:val="14"/>
      </w:pPr>
      <w:r>
        <w:rPr>
          <w:rFonts w:ascii="Times New Roman" w:hAnsi="Times New Roman"/>
          <w:b/>
          <w:i w:val="0"/>
          <w:sz w:val="24"/>
        </w:rPr>
        <w:t>Spleen:</w:t>
      </w:r>
      <w:r>
        <w:rPr>
          <w:rFonts w:ascii="Times New Roman" w:hAnsi="Times New Roman"/>
          <w:b w:val="0"/>
          <w:i w:val="0"/>
          <w:sz w:val="24"/>
        </w:rPr>
        <w:t xml:space="preserve"> Splenic accumulation reflects macrophage-mediated clearance of circulating particles [36].</w:t>
      </w:r>
    </w:p>
    <w:p w14:paraId="72CB0BED">
      <w:pPr>
        <w:pStyle w:val="14"/>
      </w:pPr>
      <w:r>
        <w:rPr>
          <w:rFonts w:ascii="Times New Roman" w:hAnsi="Times New Roman"/>
          <w:b/>
          <w:i w:val="0"/>
          <w:sz w:val="24"/>
        </w:rPr>
        <w:t>Lungs:</w:t>
      </w:r>
      <w:r>
        <w:rPr>
          <w:rFonts w:ascii="Times New Roman" w:hAnsi="Times New Roman"/>
          <w:b w:val="0"/>
          <w:i w:val="0"/>
          <w:sz w:val="24"/>
        </w:rPr>
        <w:t xml:space="preserve"> Both inhaled and systemically circulating particles can deposit in lung tissue [34,35].</w:t>
      </w:r>
    </w:p>
    <w:p w14:paraId="6BAD0215">
      <w:pPr>
        <w:pStyle w:val="14"/>
      </w:pPr>
      <w:r>
        <w:rPr>
          <w:rFonts w:ascii="Times New Roman" w:hAnsi="Times New Roman"/>
          <w:b/>
          <w:i w:val="0"/>
          <w:sz w:val="24"/>
        </w:rPr>
        <w:t>Kidneys:</w:t>
      </w:r>
      <w:r>
        <w:rPr>
          <w:rFonts w:ascii="Times New Roman" w:hAnsi="Times New Roman"/>
          <w:b w:val="0"/>
          <w:i w:val="0"/>
          <w:sz w:val="24"/>
        </w:rPr>
        <w:t xml:space="preserve"> Renal accumulation is generally low, though particles &lt;6 nm may undergo glomerular filtration [39].</w:t>
      </w:r>
    </w:p>
    <w:p w14:paraId="12B0F26D">
      <w:pPr>
        <w:pStyle w:val="14"/>
      </w:pPr>
      <w:r>
        <w:rPr>
          <w:rFonts w:ascii="Times New Roman" w:hAnsi="Times New Roman"/>
          <w:b/>
          <w:i w:val="0"/>
          <w:sz w:val="24"/>
        </w:rPr>
        <w:t>Brain:</w:t>
      </w:r>
      <w:r>
        <w:rPr>
          <w:rFonts w:ascii="Times New Roman" w:hAnsi="Times New Roman"/>
          <w:b w:val="0"/>
          <w:i w:val="0"/>
          <w:sz w:val="24"/>
        </w:rPr>
        <w:t xml:space="preserve"> Emerging evidence demonstrates that nanoscale particles (&lt;200 nm) can cross the blood-brain barrier, with accumulation demonstrated in rodent models [40,41].</w:t>
      </w:r>
    </w:p>
    <w:p w14:paraId="3B6C863C">
      <w:pPr>
        <w:pStyle w:val="14"/>
      </w:pPr>
      <w:r>
        <w:rPr>
          <w:rFonts w:ascii="Times New Roman" w:hAnsi="Times New Roman"/>
          <w:b/>
          <w:i w:val="0"/>
          <w:sz w:val="24"/>
        </w:rPr>
        <w:t>Reproductive organs:</w:t>
      </w:r>
      <w:r>
        <w:rPr>
          <w:rFonts w:ascii="Times New Roman" w:hAnsi="Times New Roman"/>
          <w:b w:val="0"/>
          <w:i w:val="0"/>
          <w:sz w:val="24"/>
        </w:rPr>
        <w:t xml:space="preserve"> Accumulation in testes and ovaries has been reported, with implications for reproductive toxicity [42,55].</w:t>
      </w:r>
    </w:p>
    <w:p w14:paraId="787F9242">
      <w:pPr>
        <w:pStyle w:val="14"/>
      </w:pPr>
      <w:r>
        <w:rPr>
          <w:rFonts w:ascii="Times New Roman" w:hAnsi="Times New Roman"/>
          <w:b/>
          <w:i w:val="0"/>
          <w:sz w:val="24"/>
        </w:rPr>
        <w:t>Placenta:</w:t>
      </w:r>
      <w:r>
        <w:rPr>
          <w:rFonts w:ascii="Times New Roman" w:hAnsi="Times New Roman"/>
          <w:b w:val="0"/>
          <w:i w:val="0"/>
          <w:sz w:val="24"/>
        </w:rPr>
        <w:t xml:space="preserve"> Transplacental transfer of nanoplastics has been demonstrated in murine models, with fetal tissue accumulation [43,44].</w:t>
      </w:r>
    </w:p>
    <w:p w14:paraId="200D9E9C">
      <w:pPr>
        <w:ind w:left="567"/>
      </w:pPr>
      <w:r>
        <w:rPr>
          <w:rFonts w:ascii="Times New Roman" w:hAnsi="Times New Roman"/>
          <w:b w:val="0"/>
          <w:i/>
          <w:sz w:val="20"/>
        </w:rPr>
        <w:t>Table 8.2 summarizes key biodistribution studies in animal models.</w:t>
      </w:r>
    </w:p>
    <w:p w14:paraId="3F0C4C05">
      <w:pPr>
        <w:jc w:val="center"/>
      </w:pPr>
      <w:r>
        <w:rPr>
          <w:rFonts w:ascii="Times New Roman" w:hAnsi="Times New Roman"/>
          <w:b/>
          <w:i w:val="0"/>
          <w:sz w:val="20"/>
        </w:rPr>
        <w:t>Table 8.2. Summary of Key Biodistribution Studies of iMNPs in Animal Models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7"/>
        <w:gridCol w:w="1337"/>
        <w:gridCol w:w="1337"/>
        <w:gridCol w:w="1337"/>
        <w:gridCol w:w="1337"/>
        <w:gridCol w:w="1337"/>
        <w:gridCol w:w="1337"/>
      </w:tblGrid>
      <w:tr w14:paraId="43506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7" w:type="dxa"/>
            <w:shd w:val="clear" w:color="auto" w:fill="D9E2F3"/>
          </w:tcPr>
          <w:p w14:paraId="565816FA">
            <w:pPr>
              <w:jc w:val="center"/>
            </w:pPr>
            <w:r>
              <w:rPr>
                <w:rFonts w:ascii="Times New Roman" w:hAnsi="Times New Roman"/>
                <w:b/>
                <w:i w:val="0"/>
                <w:sz w:val="16"/>
              </w:rPr>
              <w:t>Study</w:t>
            </w:r>
          </w:p>
        </w:tc>
        <w:tc>
          <w:tcPr>
            <w:tcW w:w="1337" w:type="dxa"/>
            <w:shd w:val="clear" w:color="auto" w:fill="D9E2F3"/>
          </w:tcPr>
          <w:p w14:paraId="5D54194B">
            <w:pPr>
              <w:jc w:val="center"/>
            </w:pPr>
            <w:r>
              <w:rPr>
                <w:rFonts w:ascii="Times New Roman" w:hAnsi="Times New Roman"/>
                <w:b/>
                <w:i w:val="0"/>
                <w:sz w:val="16"/>
              </w:rPr>
              <w:t>Animal Model</w:t>
            </w:r>
          </w:p>
        </w:tc>
        <w:tc>
          <w:tcPr>
            <w:tcW w:w="1337" w:type="dxa"/>
            <w:shd w:val="clear" w:color="auto" w:fill="D9E2F3"/>
          </w:tcPr>
          <w:p w14:paraId="45AC4049">
            <w:pPr>
              <w:jc w:val="center"/>
            </w:pPr>
            <w:r>
              <w:rPr>
                <w:rFonts w:ascii="Times New Roman" w:hAnsi="Times New Roman"/>
                <w:b/>
                <w:i w:val="0"/>
                <w:sz w:val="16"/>
              </w:rPr>
              <w:t>Particle Type &amp; Size</w:t>
            </w:r>
          </w:p>
        </w:tc>
        <w:tc>
          <w:tcPr>
            <w:tcW w:w="1337" w:type="dxa"/>
            <w:shd w:val="clear" w:color="auto" w:fill="D9E2F3"/>
          </w:tcPr>
          <w:p w14:paraId="3E21CB75">
            <w:pPr>
              <w:jc w:val="center"/>
            </w:pPr>
            <w:r>
              <w:rPr>
                <w:rFonts w:ascii="Times New Roman" w:hAnsi="Times New Roman"/>
                <w:b/>
                <w:i w:val="0"/>
                <w:sz w:val="16"/>
              </w:rPr>
              <w:t>Exposure Route</w:t>
            </w:r>
          </w:p>
        </w:tc>
        <w:tc>
          <w:tcPr>
            <w:tcW w:w="1337" w:type="dxa"/>
            <w:shd w:val="clear" w:color="auto" w:fill="D9E2F3"/>
          </w:tcPr>
          <w:p w14:paraId="44757B90">
            <w:pPr>
              <w:jc w:val="center"/>
            </w:pPr>
            <w:r>
              <w:rPr>
                <w:rFonts w:ascii="Times New Roman" w:hAnsi="Times New Roman"/>
                <w:b/>
                <w:i w:val="0"/>
                <w:sz w:val="16"/>
              </w:rPr>
              <w:t>Duration</w:t>
            </w:r>
          </w:p>
        </w:tc>
        <w:tc>
          <w:tcPr>
            <w:tcW w:w="1337" w:type="dxa"/>
            <w:shd w:val="clear" w:color="auto" w:fill="D9E2F3"/>
          </w:tcPr>
          <w:p w14:paraId="30C736D2">
            <w:pPr>
              <w:jc w:val="center"/>
            </w:pPr>
            <w:r>
              <w:rPr>
                <w:rFonts w:ascii="Times New Roman" w:hAnsi="Times New Roman"/>
                <w:b/>
                <w:i w:val="0"/>
                <w:sz w:val="16"/>
              </w:rPr>
              <w:t>Key Organs of Accumulation</w:t>
            </w:r>
          </w:p>
        </w:tc>
        <w:tc>
          <w:tcPr>
            <w:tcW w:w="1337" w:type="dxa"/>
            <w:shd w:val="clear" w:color="auto" w:fill="D9E2F3"/>
          </w:tcPr>
          <w:p w14:paraId="73EF8979">
            <w:pPr>
              <w:jc w:val="center"/>
            </w:pPr>
            <w:r>
              <w:rPr>
                <w:rFonts w:ascii="Times New Roman" w:hAnsi="Times New Roman"/>
                <w:b/>
                <w:i w:val="0"/>
                <w:sz w:val="16"/>
              </w:rPr>
              <w:t>Key Findings</w:t>
            </w:r>
          </w:p>
        </w:tc>
      </w:tr>
      <w:tr w14:paraId="4F6F6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7" w:type="dxa"/>
          </w:tcPr>
          <w:p w14:paraId="0BB38697">
            <w:pPr>
              <w:jc w:val="center"/>
            </w:pPr>
            <w:r>
              <w:rPr>
                <w:rFonts w:ascii="Times New Roman" w:hAnsi="Times New Roman"/>
                <w:b w:val="0"/>
                <w:i w:val="0"/>
                <w:sz w:val="16"/>
              </w:rPr>
              <w:t>Deng et al. (2017) [31]</w:t>
            </w:r>
          </w:p>
        </w:tc>
        <w:tc>
          <w:tcPr>
            <w:tcW w:w="1337" w:type="dxa"/>
          </w:tcPr>
          <w:p w14:paraId="46A3EB5A">
            <w:pPr>
              <w:jc w:val="center"/>
            </w:pPr>
            <w:r>
              <w:rPr>
                <w:rFonts w:ascii="Times New Roman" w:hAnsi="Times New Roman"/>
                <w:b w:val="0"/>
                <w:i w:val="0"/>
                <w:sz w:val="16"/>
              </w:rPr>
              <w:t>ICR mice</w:t>
            </w:r>
          </w:p>
        </w:tc>
        <w:tc>
          <w:tcPr>
            <w:tcW w:w="1337" w:type="dxa"/>
          </w:tcPr>
          <w:p w14:paraId="708C4653">
            <w:pPr>
              <w:jc w:val="center"/>
            </w:pPr>
            <w:r>
              <w:rPr>
                <w:rFonts w:ascii="Times New Roman" w:hAnsi="Times New Roman"/>
                <w:b w:val="0"/>
                <w:i w:val="0"/>
                <w:sz w:val="16"/>
              </w:rPr>
              <w:t>PS, 5 &amp; 20 μm</w:t>
            </w:r>
          </w:p>
        </w:tc>
        <w:tc>
          <w:tcPr>
            <w:tcW w:w="1337" w:type="dxa"/>
          </w:tcPr>
          <w:p w14:paraId="1485A826">
            <w:pPr>
              <w:jc w:val="center"/>
            </w:pPr>
            <w:r>
              <w:rPr>
                <w:rFonts w:ascii="Times New Roman" w:hAnsi="Times New Roman"/>
                <w:b w:val="0"/>
                <w:i w:val="0"/>
                <w:sz w:val="16"/>
              </w:rPr>
              <w:t>Oral gavage</w:t>
            </w:r>
          </w:p>
        </w:tc>
        <w:tc>
          <w:tcPr>
            <w:tcW w:w="1337" w:type="dxa"/>
          </w:tcPr>
          <w:p w14:paraId="300C1515">
            <w:pPr>
              <w:jc w:val="center"/>
            </w:pPr>
            <w:r>
              <w:rPr>
                <w:rFonts w:ascii="Times New Roman" w:hAnsi="Times New Roman"/>
                <w:b w:val="0"/>
                <w:i w:val="0"/>
                <w:sz w:val="16"/>
              </w:rPr>
              <w:t>28 days</w:t>
            </w:r>
          </w:p>
        </w:tc>
        <w:tc>
          <w:tcPr>
            <w:tcW w:w="1337" w:type="dxa"/>
          </w:tcPr>
          <w:p w14:paraId="22BA174A">
            <w:pPr>
              <w:jc w:val="center"/>
            </w:pPr>
            <w:r>
              <w:rPr>
                <w:rFonts w:ascii="Times New Roman" w:hAnsi="Times New Roman"/>
                <w:b w:val="0"/>
                <w:i w:val="0"/>
                <w:sz w:val="16"/>
              </w:rPr>
              <w:t>Liver, kidney, gut</w:t>
            </w:r>
          </w:p>
        </w:tc>
        <w:tc>
          <w:tcPr>
            <w:tcW w:w="1337" w:type="dxa"/>
          </w:tcPr>
          <w:p w14:paraId="0FE10216">
            <w:pPr>
              <w:jc w:val="center"/>
            </w:pPr>
            <w:r>
              <w:rPr>
                <w:rFonts w:ascii="Times New Roman" w:hAnsi="Times New Roman"/>
                <w:b w:val="0"/>
                <w:i w:val="0"/>
                <w:sz w:val="16"/>
              </w:rPr>
              <w:t>Size-dependent accumulation; 5 μm &gt; 20 μm</w:t>
            </w:r>
          </w:p>
        </w:tc>
      </w:tr>
      <w:tr w14:paraId="716B2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7" w:type="dxa"/>
          </w:tcPr>
          <w:p w14:paraId="063AB6E3">
            <w:pPr>
              <w:jc w:val="center"/>
            </w:pPr>
            <w:r>
              <w:rPr>
                <w:rFonts w:ascii="Times New Roman" w:hAnsi="Times New Roman"/>
                <w:b w:val="0"/>
                <w:i w:val="0"/>
                <w:sz w:val="16"/>
              </w:rPr>
              <w:t>Walczak et al. (2015) [36]</w:t>
            </w:r>
          </w:p>
        </w:tc>
        <w:tc>
          <w:tcPr>
            <w:tcW w:w="1337" w:type="dxa"/>
          </w:tcPr>
          <w:p w14:paraId="47C3E329">
            <w:pPr>
              <w:jc w:val="center"/>
            </w:pPr>
            <w:r>
              <w:rPr>
                <w:rFonts w:ascii="Times New Roman" w:hAnsi="Times New Roman"/>
                <w:b w:val="0"/>
                <w:i w:val="0"/>
                <w:sz w:val="16"/>
              </w:rPr>
              <w:t>Sprague-Dawley rats</w:t>
            </w:r>
          </w:p>
        </w:tc>
        <w:tc>
          <w:tcPr>
            <w:tcW w:w="1337" w:type="dxa"/>
          </w:tcPr>
          <w:p w14:paraId="0171FEC2">
            <w:pPr>
              <w:jc w:val="center"/>
            </w:pPr>
            <w:r>
              <w:rPr>
                <w:rFonts w:ascii="Times New Roman" w:hAnsi="Times New Roman"/>
                <w:b w:val="0"/>
                <w:i w:val="0"/>
                <w:sz w:val="16"/>
              </w:rPr>
              <w:t>PS, 50 &amp; 500 nm</w:t>
            </w:r>
          </w:p>
        </w:tc>
        <w:tc>
          <w:tcPr>
            <w:tcW w:w="1337" w:type="dxa"/>
          </w:tcPr>
          <w:p w14:paraId="58ACB44E">
            <w:pPr>
              <w:jc w:val="center"/>
            </w:pPr>
            <w:r>
              <w:rPr>
                <w:rFonts w:ascii="Times New Roman" w:hAnsi="Times New Roman"/>
                <w:b w:val="0"/>
                <w:i w:val="0"/>
                <w:sz w:val="16"/>
              </w:rPr>
              <w:t>IV injection</w:t>
            </w:r>
          </w:p>
        </w:tc>
        <w:tc>
          <w:tcPr>
            <w:tcW w:w="1337" w:type="dxa"/>
          </w:tcPr>
          <w:p w14:paraId="4D20C38F">
            <w:pPr>
              <w:jc w:val="center"/>
            </w:pPr>
            <w:r>
              <w:rPr>
                <w:rFonts w:ascii="Times New Roman" w:hAnsi="Times New Roman"/>
                <w:b w:val="0"/>
                <w:i w:val="0"/>
                <w:sz w:val="16"/>
              </w:rPr>
              <w:t>24 h</w:t>
            </w:r>
          </w:p>
        </w:tc>
        <w:tc>
          <w:tcPr>
            <w:tcW w:w="1337" w:type="dxa"/>
          </w:tcPr>
          <w:p w14:paraId="68D69484">
            <w:pPr>
              <w:jc w:val="center"/>
            </w:pPr>
            <w:r>
              <w:rPr>
                <w:rFonts w:ascii="Times New Roman" w:hAnsi="Times New Roman"/>
                <w:b w:val="0"/>
                <w:i w:val="0"/>
                <w:sz w:val="16"/>
              </w:rPr>
              <w:t>Liver (&gt;60%), spleen, lungs</w:t>
            </w:r>
          </w:p>
        </w:tc>
        <w:tc>
          <w:tcPr>
            <w:tcW w:w="1337" w:type="dxa"/>
          </w:tcPr>
          <w:p w14:paraId="19271A00">
            <w:pPr>
              <w:jc w:val="center"/>
            </w:pPr>
            <w:r>
              <w:rPr>
                <w:rFonts w:ascii="Times New Roman" w:hAnsi="Times New Roman"/>
                <w:b w:val="0"/>
                <w:i w:val="0"/>
                <w:sz w:val="16"/>
              </w:rPr>
              <w:t>Charge-dependent distribution</w:t>
            </w:r>
          </w:p>
        </w:tc>
      </w:tr>
      <w:tr w14:paraId="066DE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7" w:type="dxa"/>
          </w:tcPr>
          <w:p w14:paraId="1B35ACB0">
            <w:pPr>
              <w:jc w:val="center"/>
            </w:pPr>
            <w:r>
              <w:rPr>
                <w:rFonts w:ascii="Times New Roman" w:hAnsi="Times New Roman"/>
                <w:b w:val="0"/>
                <w:i w:val="0"/>
                <w:sz w:val="16"/>
              </w:rPr>
              <w:t>Lu et al. (2018) [32]</w:t>
            </w:r>
          </w:p>
        </w:tc>
        <w:tc>
          <w:tcPr>
            <w:tcW w:w="1337" w:type="dxa"/>
          </w:tcPr>
          <w:p w14:paraId="51207E72">
            <w:pPr>
              <w:jc w:val="center"/>
            </w:pPr>
            <w:r>
              <w:rPr>
                <w:rFonts w:ascii="Times New Roman" w:hAnsi="Times New Roman"/>
                <w:b w:val="0"/>
                <w:i w:val="0"/>
                <w:sz w:val="16"/>
              </w:rPr>
              <w:t>ICR mice</w:t>
            </w:r>
          </w:p>
        </w:tc>
        <w:tc>
          <w:tcPr>
            <w:tcW w:w="1337" w:type="dxa"/>
          </w:tcPr>
          <w:p w14:paraId="162CBE9D">
            <w:pPr>
              <w:jc w:val="center"/>
            </w:pPr>
            <w:r>
              <w:rPr>
                <w:rFonts w:ascii="Times New Roman" w:hAnsi="Times New Roman"/>
                <w:b w:val="0"/>
                <w:i w:val="0"/>
                <w:sz w:val="16"/>
              </w:rPr>
              <w:t>PS, 0.5 &amp; 50 μm</w:t>
            </w:r>
          </w:p>
        </w:tc>
        <w:tc>
          <w:tcPr>
            <w:tcW w:w="1337" w:type="dxa"/>
          </w:tcPr>
          <w:p w14:paraId="3FAF6025">
            <w:pPr>
              <w:jc w:val="center"/>
            </w:pPr>
            <w:r>
              <w:rPr>
                <w:rFonts w:ascii="Times New Roman" w:hAnsi="Times New Roman"/>
                <w:b w:val="0"/>
                <w:i w:val="0"/>
                <w:sz w:val="16"/>
              </w:rPr>
              <w:t>Drinking water</w:t>
            </w:r>
          </w:p>
        </w:tc>
        <w:tc>
          <w:tcPr>
            <w:tcW w:w="1337" w:type="dxa"/>
          </w:tcPr>
          <w:p w14:paraId="58CA1B72">
            <w:pPr>
              <w:jc w:val="center"/>
            </w:pPr>
            <w:r>
              <w:rPr>
                <w:rFonts w:ascii="Times New Roman" w:hAnsi="Times New Roman"/>
                <w:b w:val="0"/>
                <w:i w:val="0"/>
                <w:sz w:val="16"/>
              </w:rPr>
              <w:t>5 weeks</w:t>
            </w:r>
          </w:p>
        </w:tc>
        <w:tc>
          <w:tcPr>
            <w:tcW w:w="1337" w:type="dxa"/>
          </w:tcPr>
          <w:p w14:paraId="02F0E041">
            <w:pPr>
              <w:jc w:val="center"/>
            </w:pPr>
            <w:r>
              <w:rPr>
                <w:rFonts w:ascii="Times New Roman" w:hAnsi="Times New Roman"/>
                <w:b w:val="0"/>
                <w:i w:val="0"/>
                <w:sz w:val="16"/>
              </w:rPr>
              <w:t>Gut, liver</w:t>
            </w:r>
          </w:p>
        </w:tc>
        <w:tc>
          <w:tcPr>
            <w:tcW w:w="1337" w:type="dxa"/>
          </w:tcPr>
          <w:p w14:paraId="724DB8D9">
            <w:pPr>
              <w:jc w:val="center"/>
            </w:pPr>
            <w:r>
              <w:rPr>
                <w:rFonts w:ascii="Times New Roman" w:hAnsi="Times New Roman"/>
                <w:b w:val="0"/>
                <w:i w:val="0"/>
                <w:sz w:val="16"/>
              </w:rPr>
              <w:t>Gut microbiota dysbiosis, hepatic lipid changes</w:t>
            </w:r>
          </w:p>
        </w:tc>
      </w:tr>
      <w:tr w14:paraId="390D6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7" w:type="dxa"/>
          </w:tcPr>
          <w:p w14:paraId="0503E763">
            <w:pPr>
              <w:jc w:val="center"/>
            </w:pPr>
            <w:r>
              <w:rPr>
                <w:rFonts w:ascii="Times New Roman" w:hAnsi="Times New Roman"/>
                <w:b w:val="0"/>
                <w:i w:val="0"/>
                <w:sz w:val="16"/>
              </w:rPr>
              <w:t>Stock et al. (2019) [33]</w:t>
            </w:r>
          </w:p>
        </w:tc>
        <w:tc>
          <w:tcPr>
            <w:tcW w:w="1337" w:type="dxa"/>
          </w:tcPr>
          <w:p w14:paraId="1662D0A7">
            <w:pPr>
              <w:jc w:val="center"/>
            </w:pPr>
            <w:r>
              <w:rPr>
                <w:rFonts w:ascii="Times New Roman" w:hAnsi="Times New Roman"/>
                <w:b w:val="0"/>
                <w:i w:val="0"/>
                <w:sz w:val="16"/>
              </w:rPr>
              <w:t>C57BL/6 mice</w:t>
            </w:r>
          </w:p>
        </w:tc>
        <w:tc>
          <w:tcPr>
            <w:tcW w:w="1337" w:type="dxa"/>
          </w:tcPr>
          <w:p w14:paraId="391A6155">
            <w:pPr>
              <w:jc w:val="center"/>
            </w:pPr>
            <w:r>
              <w:rPr>
                <w:rFonts w:ascii="Times New Roman" w:hAnsi="Times New Roman"/>
                <w:b w:val="0"/>
                <w:i w:val="0"/>
                <w:sz w:val="16"/>
              </w:rPr>
              <w:t>PS, 1, 4 &amp; 10 μm</w:t>
            </w:r>
          </w:p>
        </w:tc>
        <w:tc>
          <w:tcPr>
            <w:tcW w:w="1337" w:type="dxa"/>
          </w:tcPr>
          <w:p w14:paraId="5B1C9787">
            <w:pPr>
              <w:jc w:val="center"/>
            </w:pPr>
            <w:r>
              <w:rPr>
                <w:rFonts w:ascii="Times New Roman" w:hAnsi="Times New Roman"/>
                <w:b w:val="0"/>
                <w:i w:val="0"/>
                <w:sz w:val="16"/>
              </w:rPr>
              <w:t>Oral gavage</w:t>
            </w:r>
          </w:p>
        </w:tc>
        <w:tc>
          <w:tcPr>
            <w:tcW w:w="1337" w:type="dxa"/>
          </w:tcPr>
          <w:p w14:paraId="70804466">
            <w:pPr>
              <w:jc w:val="center"/>
            </w:pPr>
            <w:r>
              <w:rPr>
                <w:rFonts w:ascii="Times New Roman" w:hAnsi="Times New Roman"/>
                <w:b w:val="0"/>
                <w:i w:val="0"/>
                <w:sz w:val="16"/>
              </w:rPr>
              <w:t>28 days</w:t>
            </w:r>
          </w:p>
        </w:tc>
        <w:tc>
          <w:tcPr>
            <w:tcW w:w="1337" w:type="dxa"/>
          </w:tcPr>
          <w:p w14:paraId="11B00244">
            <w:pPr>
              <w:jc w:val="center"/>
            </w:pPr>
            <w:r>
              <w:rPr>
                <w:rFonts w:ascii="Times New Roman" w:hAnsi="Times New Roman"/>
                <w:b w:val="0"/>
                <w:i w:val="0"/>
                <w:sz w:val="16"/>
              </w:rPr>
              <w:t>Gut, liver, kidney, spleen</w:t>
            </w:r>
          </w:p>
        </w:tc>
        <w:tc>
          <w:tcPr>
            <w:tcW w:w="1337" w:type="dxa"/>
          </w:tcPr>
          <w:p w14:paraId="20FC7E0B">
            <w:pPr>
              <w:jc w:val="center"/>
            </w:pPr>
            <w:r>
              <w:rPr>
                <w:rFonts w:ascii="Times New Roman" w:hAnsi="Times New Roman"/>
                <w:b w:val="0"/>
                <w:i w:val="0"/>
                <w:sz w:val="16"/>
              </w:rPr>
              <w:t>Minor fraction of particles translocated across intestinal barrier</w:t>
            </w:r>
          </w:p>
        </w:tc>
      </w:tr>
      <w:tr w14:paraId="30697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7" w:type="dxa"/>
          </w:tcPr>
          <w:p w14:paraId="0CFCE5D2">
            <w:pPr>
              <w:jc w:val="center"/>
            </w:pPr>
            <w:r>
              <w:rPr>
                <w:rFonts w:ascii="Times New Roman" w:hAnsi="Times New Roman"/>
                <w:b w:val="0"/>
                <w:i w:val="0"/>
                <w:sz w:val="16"/>
              </w:rPr>
              <w:t>Fournier et al. (2020) [108]</w:t>
            </w:r>
          </w:p>
        </w:tc>
        <w:tc>
          <w:tcPr>
            <w:tcW w:w="1337" w:type="dxa"/>
          </w:tcPr>
          <w:p w14:paraId="0C608ACE">
            <w:pPr>
              <w:jc w:val="center"/>
            </w:pPr>
            <w:r>
              <w:rPr>
                <w:rFonts w:ascii="Times New Roman" w:hAnsi="Times New Roman"/>
                <w:b w:val="0"/>
                <w:i w:val="0"/>
                <w:sz w:val="16"/>
              </w:rPr>
              <w:t>Sprague-Dawley rats</w:t>
            </w:r>
          </w:p>
        </w:tc>
        <w:tc>
          <w:tcPr>
            <w:tcW w:w="1337" w:type="dxa"/>
          </w:tcPr>
          <w:p w14:paraId="4A009773">
            <w:pPr>
              <w:jc w:val="center"/>
            </w:pPr>
            <w:r>
              <w:rPr>
                <w:rFonts w:ascii="Times New Roman" w:hAnsi="Times New Roman"/>
                <w:b w:val="0"/>
                <w:i w:val="0"/>
                <w:sz w:val="16"/>
              </w:rPr>
              <w:t>PS, 20 nm</w:t>
            </w:r>
          </w:p>
        </w:tc>
        <w:tc>
          <w:tcPr>
            <w:tcW w:w="1337" w:type="dxa"/>
          </w:tcPr>
          <w:p w14:paraId="103FDDD7">
            <w:pPr>
              <w:jc w:val="center"/>
            </w:pPr>
            <w:r>
              <w:rPr>
                <w:rFonts w:ascii="Times New Roman" w:hAnsi="Times New Roman"/>
                <w:b w:val="0"/>
                <w:i w:val="0"/>
                <w:sz w:val="16"/>
              </w:rPr>
              <w:t>Lung instillation</w:t>
            </w:r>
          </w:p>
        </w:tc>
        <w:tc>
          <w:tcPr>
            <w:tcW w:w="1337" w:type="dxa"/>
          </w:tcPr>
          <w:p w14:paraId="2F1A68D0">
            <w:pPr>
              <w:jc w:val="center"/>
            </w:pPr>
            <w:r>
              <w:rPr>
                <w:rFonts w:ascii="Times New Roman" w:hAnsi="Times New Roman"/>
                <w:b w:val="0"/>
                <w:i w:val="0"/>
                <w:sz w:val="16"/>
              </w:rPr>
              <w:t>24 h</w:t>
            </w:r>
          </w:p>
        </w:tc>
        <w:tc>
          <w:tcPr>
            <w:tcW w:w="1337" w:type="dxa"/>
          </w:tcPr>
          <w:p w14:paraId="4100C96E">
            <w:pPr>
              <w:jc w:val="center"/>
            </w:pPr>
            <w:r>
              <w:rPr>
                <w:rFonts w:ascii="Times New Roman" w:hAnsi="Times New Roman"/>
                <w:b w:val="0"/>
                <w:i w:val="0"/>
                <w:sz w:val="16"/>
              </w:rPr>
              <w:t>Lungs, placenta, fetal tissue</w:t>
            </w:r>
          </w:p>
        </w:tc>
        <w:tc>
          <w:tcPr>
            <w:tcW w:w="1337" w:type="dxa"/>
          </w:tcPr>
          <w:p w14:paraId="2EBF2AAC">
            <w:pPr>
              <w:jc w:val="center"/>
            </w:pPr>
            <w:r>
              <w:rPr>
                <w:rFonts w:ascii="Times New Roman" w:hAnsi="Times New Roman"/>
                <w:b w:val="0"/>
                <w:i w:val="0"/>
                <w:sz w:val="16"/>
              </w:rPr>
              <w:t>Pulmonary-to-systemic translocation; transplacental transfer</w:t>
            </w:r>
          </w:p>
        </w:tc>
      </w:tr>
      <w:tr w14:paraId="66519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7" w:type="dxa"/>
          </w:tcPr>
          <w:p w14:paraId="09396AC9">
            <w:pPr>
              <w:jc w:val="center"/>
            </w:pPr>
            <w:r>
              <w:rPr>
                <w:rFonts w:ascii="Times New Roman" w:hAnsi="Times New Roman"/>
                <w:b w:val="0"/>
                <w:i w:val="0"/>
                <w:sz w:val="16"/>
              </w:rPr>
              <w:t>Lu et al. (2021) [34]</w:t>
            </w:r>
          </w:p>
        </w:tc>
        <w:tc>
          <w:tcPr>
            <w:tcW w:w="1337" w:type="dxa"/>
          </w:tcPr>
          <w:p w14:paraId="394553DF">
            <w:pPr>
              <w:jc w:val="center"/>
            </w:pPr>
            <w:r>
              <w:rPr>
                <w:rFonts w:ascii="Times New Roman" w:hAnsi="Times New Roman"/>
                <w:b w:val="0"/>
                <w:i w:val="0"/>
                <w:sz w:val="16"/>
              </w:rPr>
              <w:t>Wistar rats</w:t>
            </w:r>
          </w:p>
        </w:tc>
        <w:tc>
          <w:tcPr>
            <w:tcW w:w="1337" w:type="dxa"/>
          </w:tcPr>
          <w:p w14:paraId="0CED3223">
            <w:pPr>
              <w:jc w:val="center"/>
            </w:pPr>
            <w:r>
              <w:rPr>
                <w:rFonts w:ascii="Times New Roman" w:hAnsi="Times New Roman"/>
                <w:b w:val="0"/>
                <w:i w:val="0"/>
                <w:sz w:val="16"/>
              </w:rPr>
              <w:t>PS, 1–5 μm</w:t>
            </w:r>
          </w:p>
        </w:tc>
        <w:tc>
          <w:tcPr>
            <w:tcW w:w="1337" w:type="dxa"/>
          </w:tcPr>
          <w:p w14:paraId="12EBCB03">
            <w:pPr>
              <w:jc w:val="center"/>
            </w:pPr>
            <w:r>
              <w:rPr>
                <w:rFonts w:ascii="Times New Roman" w:hAnsi="Times New Roman"/>
                <w:b w:val="0"/>
                <w:i w:val="0"/>
                <w:sz w:val="16"/>
              </w:rPr>
              <w:t>Inhalation</w:t>
            </w:r>
          </w:p>
        </w:tc>
        <w:tc>
          <w:tcPr>
            <w:tcW w:w="1337" w:type="dxa"/>
          </w:tcPr>
          <w:p w14:paraId="5F9CDB45">
            <w:pPr>
              <w:jc w:val="center"/>
            </w:pPr>
            <w:r>
              <w:rPr>
                <w:rFonts w:ascii="Times New Roman" w:hAnsi="Times New Roman"/>
                <w:b w:val="0"/>
                <w:i w:val="0"/>
                <w:sz w:val="16"/>
              </w:rPr>
              <w:t>14 days</w:t>
            </w:r>
          </w:p>
        </w:tc>
        <w:tc>
          <w:tcPr>
            <w:tcW w:w="1337" w:type="dxa"/>
          </w:tcPr>
          <w:p w14:paraId="35984E3C">
            <w:pPr>
              <w:jc w:val="center"/>
            </w:pPr>
            <w:r>
              <w:rPr>
                <w:rFonts w:ascii="Times New Roman" w:hAnsi="Times New Roman"/>
                <w:b w:val="0"/>
                <w:i w:val="0"/>
                <w:sz w:val="16"/>
              </w:rPr>
              <w:t>Lungs, lymph nodes</w:t>
            </w:r>
          </w:p>
        </w:tc>
        <w:tc>
          <w:tcPr>
            <w:tcW w:w="1337" w:type="dxa"/>
          </w:tcPr>
          <w:p w14:paraId="43B86C63">
            <w:pPr>
              <w:jc w:val="center"/>
            </w:pPr>
            <w:r>
              <w:rPr>
                <w:rFonts w:ascii="Times New Roman" w:hAnsi="Times New Roman"/>
                <w:b w:val="0"/>
                <w:i w:val="0"/>
                <w:sz w:val="16"/>
              </w:rPr>
              <w:t>Alveolar deposition, lymphatic translocation</w:t>
            </w:r>
          </w:p>
        </w:tc>
      </w:tr>
      <w:tr w14:paraId="6F9BA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7" w:type="dxa"/>
          </w:tcPr>
          <w:p w14:paraId="0ABD95F7">
            <w:pPr>
              <w:jc w:val="center"/>
            </w:pPr>
            <w:r>
              <w:rPr>
                <w:rFonts w:ascii="Times New Roman" w:hAnsi="Times New Roman"/>
                <w:b w:val="0"/>
                <w:i w:val="0"/>
                <w:sz w:val="16"/>
              </w:rPr>
              <w:t>Wick et al. (2010) [43]</w:t>
            </w:r>
          </w:p>
        </w:tc>
        <w:tc>
          <w:tcPr>
            <w:tcW w:w="1337" w:type="dxa"/>
          </w:tcPr>
          <w:p w14:paraId="2319EFB5">
            <w:pPr>
              <w:jc w:val="center"/>
            </w:pPr>
            <w:r>
              <w:rPr>
                <w:rFonts w:ascii="Times New Roman" w:hAnsi="Times New Roman"/>
                <w:b w:val="0"/>
                <w:i w:val="0"/>
                <w:sz w:val="16"/>
              </w:rPr>
              <w:t>Ex vivo human placenta</w:t>
            </w:r>
          </w:p>
        </w:tc>
        <w:tc>
          <w:tcPr>
            <w:tcW w:w="1337" w:type="dxa"/>
          </w:tcPr>
          <w:p w14:paraId="7BD703E7">
            <w:pPr>
              <w:jc w:val="center"/>
            </w:pPr>
            <w:r>
              <w:rPr>
                <w:rFonts w:ascii="Times New Roman" w:hAnsi="Times New Roman"/>
                <w:b w:val="0"/>
                <w:i w:val="0"/>
                <w:sz w:val="16"/>
              </w:rPr>
              <w:t>PS, 50–500 nm</w:t>
            </w:r>
          </w:p>
        </w:tc>
        <w:tc>
          <w:tcPr>
            <w:tcW w:w="1337" w:type="dxa"/>
          </w:tcPr>
          <w:p w14:paraId="60316266">
            <w:pPr>
              <w:jc w:val="center"/>
            </w:pPr>
            <w:r>
              <w:rPr>
                <w:rFonts w:ascii="Times New Roman" w:hAnsi="Times New Roman"/>
                <w:b w:val="0"/>
                <w:i w:val="0"/>
                <w:sz w:val="16"/>
              </w:rPr>
              <w:t>Perfusion</w:t>
            </w:r>
          </w:p>
        </w:tc>
        <w:tc>
          <w:tcPr>
            <w:tcW w:w="1337" w:type="dxa"/>
          </w:tcPr>
          <w:p w14:paraId="4254A85E">
            <w:pPr>
              <w:jc w:val="center"/>
            </w:pPr>
            <w:r>
              <w:rPr>
                <w:rFonts w:ascii="Times New Roman" w:hAnsi="Times New Roman"/>
                <w:b w:val="0"/>
                <w:i w:val="0"/>
                <w:sz w:val="16"/>
              </w:rPr>
              <w:t>6 h</w:t>
            </w:r>
          </w:p>
        </w:tc>
        <w:tc>
          <w:tcPr>
            <w:tcW w:w="1337" w:type="dxa"/>
          </w:tcPr>
          <w:p w14:paraId="68FB6446">
            <w:pPr>
              <w:jc w:val="center"/>
            </w:pPr>
            <w:r>
              <w:rPr>
                <w:rFonts w:ascii="Times New Roman" w:hAnsi="Times New Roman"/>
                <w:b w:val="0"/>
                <w:i w:val="0"/>
                <w:sz w:val="16"/>
              </w:rPr>
              <w:t>Fetal compartment</w:t>
            </w:r>
          </w:p>
        </w:tc>
        <w:tc>
          <w:tcPr>
            <w:tcW w:w="1337" w:type="dxa"/>
          </w:tcPr>
          <w:p w14:paraId="082797A8">
            <w:pPr>
              <w:jc w:val="center"/>
            </w:pPr>
            <w:r>
              <w:rPr>
                <w:rFonts w:ascii="Times New Roman" w:hAnsi="Times New Roman"/>
                <w:b w:val="0"/>
                <w:i w:val="0"/>
                <w:sz w:val="16"/>
              </w:rPr>
              <w:t>Size-dependent placental transfer (&lt;240 nm)</w:t>
            </w:r>
          </w:p>
        </w:tc>
      </w:tr>
      <w:tr w14:paraId="186C3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7" w:type="dxa"/>
          </w:tcPr>
          <w:p w14:paraId="22D05DA3">
            <w:pPr>
              <w:jc w:val="center"/>
            </w:pPr>
            <w:r>
              <w:rPr>
                <w:rFonts w:ascii="Times New Roman" w:hAnsi="Times New Roman"/>
                <w:b w:val="0"/>
                <w:i w:val="0"/>
                <w:sz w:val="16"/>
              </w:rPr>
              <w:t>Kopatz et al. (2023) [40]</w:t>
            </w:r>
          </w:p>
        </w:tc>
        <w:tc>
          <w:tcPr>
            <w:tcW w:w="1337" w:type="dxa"/>
          </w:tcPr>
          <w:p w14:paraId="1BE6E966">
            <w:pPr>
              <w:jc w:val="center"/>
            </w:pPr>
            <w:r>
              <w:rPr>
                <w:rFonts w:ascii="Times New Roman" w:hAnsi="Times New Roman"/>
                <w:b w:val="0"/>
                <w:i w:val="0"/>
                <w:sz w:val="16"/>
              </w:rPr>
              <w:t>C57BL/6 mice</w:t>
            </w:r>
          </w:p>
        </w:tc>
        <w:tc>
          <w:tcPr>
            <w:tcW w:w="1337" w:type="dxa"/>
          </w:tcPr>
          <w:p w14:paraId="49E22313">
            <w:pPr>
              <w:jc w:val="center"/>
            </w:pPr>
            <w:r>
              <w:rPr>
                <w:rFonts w:ascii="Times New Roman" w:hAnsi="Times New Roman"/>
                <w:b w:val="0"/>
                <w:i w:val="0"/>
                <w:sz w:val="16"/>
              </w:rPr>
              <w:t>PS, 9.5 μm &amp; 1.1 μm</w:t>
            </w:r>
          </w:p>
        </w:tc>
        <w:tc>
          <w:tcPr>
            <w:tcW w:w="1337" w:type="dxa"/>
          </w:tcPr>
          <w:p w14:paraId="1393224C">
            <w:pPr>
              <w:jc w:val="center"/>
            </w:pPr>
            <w:r>
              <w:rPr>
                <w:rFonts w:ascii="Times New Roman" w:hAnsi="Times New Roman"/>
                <w:b w:val="0"/>
                <w:i w:val="0"/>
                <w:sz w:val="16"/>
              </w:rPr>
              <w:t>Oral gavage</w:t>
            </w:r>
          </w:p>
        </w:tc>
        <w:tc>
          <w:tcPr>
            <w:tcW w:w="1337" w:type="dxa"/>
          </w:tcPr>
          <w:p w14:paraId="678352DF">
            <w:pPr>
              <w:jc w:val="center"/>
            </w:pPr>
            <w:r>
              <w:rPr>
                <w:rFonts w:ascii="Times New Roman" w:hAnsi="Times New Roman"/>
                <w:b w:val="0"/>
                <w:i w:val="0"/>
                <w:sz w:val="16"/>
              </w:rPr>
              <w:t>2–4 h</w:t>
            </w:r>
          </w:p>
        </w:tc>
        <w:tc>
          <w:tcPr>
            <w:tcW w:w="1337" w:type="dxa"/>
          </w:tcPr>
          <w:p w14:paraId="621F9964">
            <w:pPr>
              <w:jc w:val="center"/>
            </w:pPr>
            <w:r>
              <w:rPr>
                <w:rFonts w:ascii="Times New Roman" w:hAnsi="Times New Roman"/>
                <w:b w:val="0"/>
                <w:i w:val="0"/>
                <w:sz w:val="16"/>
              </w:rPr>
              <w:t>Brain (short-term)</w:t>
            </w:r>
          </w:p>
        </w:tc>
        <w:tc>
          <w:tcPr>
            <w:tcW w:w="1337" w:type="dxa"/>
          </w:tcPr>
          <w:p w14:paraId="44E51BC1">
            <w:pPr>
              <w:jc w:val="center"/>
            </w:pPr>
            <w:r>
              <w:rPr>
                <w:rFonts w:ascii="Times New Roman" w:hAnsi="Times New Roman"/>
                <w:b w:val="0"/>
                <w:i w:val="0"/>
                <w:sz w:val="16"/>
              </w:rPr>
              <w:t>BBB crossing via surface cholesterol corona</w:t>
            </w:r>
          </w:p>
        </w:tc>
      </w:tr>
      <w:tr w14:paraId="7DDAA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7" w:type="dxa"/>
          </w:tcPr>
          <w:p w14:paraId="7809F7E2">
            <w:pPr>
              <w:jc w:val="center"/>
            </w:pPr>
            <w:r>
              <w:rPr>
                <w:rFonts w:ascii="Times New Roman" w:hAnsi="Times New Roman"/>
                <w:b w:val="0"/>
                <w:i w:val="0"/>
                <w:sz w:val="16"/>
              </w:rPr>
              <w:t>Jin et al. (2021) [42]</w:t>
            </w:r>
          </w:p>
        </w:tc>
        <w:tc>
          <w:tcPr>
            <w:tcW w:w="1337" w:type="dxa"/>
          </w:tcPr>
          <w:p w14:paraId="4CB1762E">
            <w:pPr>
              <w:jc w:val="center"/>
            </w:pPr>
            <w:r>
              <w:rPr>
                <w:rFonts w:ascii="Times New Roman" w:hAnsi="Times New Roman"/>
                <w:b w:val="0"/>
                <w:i w:val="0"/>
                <w:sz w:val="16"/>
              </w:rPr>
              <w:t>ICR mice</w:t>
            </w:r>
          </w:p>
        </w:tc>
        <w:tc>
          <w:tcPr>
            <w:tcW w:w="1337" w:type="dxa"/>
          </w:tcPr>
          <w:p w14:paraId="3AFC270B">
            <w:pPr>
              <w:jc w:val="center"/>
            </w:pPr>
            <w:r>
              <w:rPr>
                <w:rFonts w:ascii="Times New Roman" w:hAnsi="Times New Roman"/>
                <w:b w:val="0"/>
                <w:i w:val="0"/>
                <w:sz w:val="16"/>
              </w:rPr>
              <w:t>PS, 0.5 &amp; 5 μm</w:t>
            </w:r>
          </w:p>
        </w:tc>
        <w:tc>
          <w:tcPr>
            <w:tcW w:w="1337" w:type="dxa"/>
          </w:tcPr>
          <w:p w14:paraId="517102BC">
            <w:pPr>
              <w:jc w:val="center"/>
            </w:pPr>
            <w:r>
              <w:rPr>
                <w:rFonts w:ascii="Times New Roman" w:hAnsi="Times New Roman"/>
                <w:b w:val="0"/>
                <w:i w:val="0"/>
                <w:sz w:val="16"/>
              </w:rPr>
              <w:t>Oral gavage</w:t>
            </w:r>
          </w:p>
        </w:tc>
        <w:tc>
          <w:tcPr>
            <w:tcW w:w="1337" w:type="dxa"/>
          </w:tcPr>
          <w:p w14:paraId="3A0D5630">
            <w:pPr>
              <w:jc w:val="center"/>
            </w:pPr>
            <w:r>
              <w:rPr>
                <w:rFonts w:ascii="Times New Roman" w:hAnsi="Times New Roman"/>
                <w:b w:val="0"/>
                <w:i w:val="0"/>
                <w:sz w:val="16"/>
              </w:rPr>
              <w:t>35 days</w:t>
            </w:r>
          </w:p>
        </w:tc>
        <w:tc>
          <w:tcPr>
            <w:tcW w:w="1337" w:type="dxa"/>
          </w:tcPr>
          <w:p w14:paraId="369BB81D">
            <w:pPr>
              <w:jc w:val="center"/>
            </w:pPr>
            <w:r>
              <w:rPr>
                <w:rFonts w:ascii="Times New Roman" w:hAnsi="Times New Roman"/>
                <w:b w:val="0"/>
                <w:i w:val="0"/>
                <w:sz w:val="16"/>
              </w:rPr>
              <w:t>Testes</w:t>
            </w:r>
          </w:p>
        </w:tc>
        <w:tc>
          <w:tcPr>
            <w:tcW w:w="1337" w:type="dxa"/>
          </w:tcPr>
          <w:p w14:paraId="0ACA0649">
            <w:pPr>
              <w:jc w:val="center"/>
            </w:pPr>
            <w:r>
              <w:rPr>
                <w:rFonts w:ascii="Times New Roman" w:hAnsi="Times New Roman"/>
                <w:b w:val="0"/>
                <w:i w:val="0"/>
                <w:sz w:val="16"/>
              </w:rPr>
              <w:t>Reduced sperm quality, oxidative stress</w:t>
            </w:r>
          </w:p>
        </w:tc>
      </w:tr>
    </w:tbl>
    <w:p w14:paraId="4F5420C5"/>
    <w:p w14:paraId="389F0C92">
      <w:pPr>
        <w:pStyle w:val="4"/>
      </w:pPr>
      <w:r>
        <w:rPr>
          <w:rFonts w:ascii="Times New Roman" w:hAnsi="Times New Roman"/>
          <w:color w:val="000000"/>
        </w:rPr>
        <w:t>8.5 Biological Barrier Crossing</w:t>
      </w:r>
    </w:p>
    <w:p w14:paraId="2A72D0EB"/>
    <w:p w14:paraId="24C7EDF6">
      <w:pPr>
        <w:jc w:val="center"/>
      </w:pPr>
      <w:r>
        <w:drawing>
          <wp:inline distT="0" distB="0" distL="114300" distR="114300">
            <wp:extent cx="5303520" cy="4264025"/>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303520" cy="4264620"/>
                    </a:xfrm>
                    <a:prstGeom prst="rect">
                      <a:avLst/>
                    </a:prstGeom>
                  </pic:spPr>
                </pic:pic>
              </a:graphicData>
            </a:graphic>
          </wp:inline>
        </w:drawing>
      </w:r>
    </w:p>
    <w:p w14:paraId="057F8F87">
      <w:pPr>
        <w:jc w:val="center"/>
      </w:pPr>
      <w:r>
        <w:rPr>
          <w:rFonts w:ascii="Times New Roman" w:hAnsi="Times New Roman"/>
          <w:b w:val="0"/>
          <w:i/>
          <w:sz w:val="20"/>
        </w:rPr>
        <w:t>Figure 8.3  Biological Barrier Size Thresholds and Translocation Mechanisms for iMNPs. Horizontal bars represent the maximum particle size permitting translocation across each barrier. Estimated translocation efficiency (%) for ~100 nm particles is shown. Key transport mechanisms for each barrier are annotated.</w:t>
      </w:r>
    </w:p>
    <w:p w14:paraId="1F79CB24"/>
    <w:p w14:paraId="1DD5E539">
      <w:r>
        <w:rPr>
          <w:rFonts w:ascii="Times New Roman" w:hAnsi="Times New Roman"/>
          <w:b w:val="0"/>
          <w:i w:val="0"/>
          <w:sz w:val="24"/>
        </w:rPr>
        <w:t>The detection of iMNPs in diverse human organs implies successful crossing of multiple biological barriers. Understanding these barrier-crossing mechanisms is critical for predicting biodistribution patterns and assessing health risks.</w:t>
      </w:r>
    </w:p>
    <w:p w14:paraId="2E3E634D">
      <w:pPr>
        <w:pStyle w:val="5"/>
      </w:pPr>
      <w:r>
        <w:rPr>
          <w:rFonts w:ascii="Times New Roman" w:hAnsi="Times New Roman"/>
          <w:color w:val="000000"/>
        </w:rPr>
        <w:t>8.5.1 Intestinal Epithelial Barrier</w:t>
      </w:r>
    </w:p>
    <w:p w14:paraId="0E3D7E64">
      <w:r>
        <w:rPr>
          <w:rFonts w:ascii="Times New Roman" w:hAnsi="Times New Roman"/>
          <w:b w:val="0"/>
          <w:i w:val="0"/>
          <w:sz w:val="24"/>
        </w:rPr>
        <w:t>The intestinal epithelium represents the first biological barrier encountered by ingested iMNPs. This single-cell-layer barrier comprises enterocytes connected by tight junctions, interspersed with mucus-secreting goblet cells and antigen-sampling M cells [45].</w:t>
      </w:r>
    </w:p>
    <w:p w14:paraId="2206FCF9">
      <w:r>
        <w:rPr>
          <w:rFonts w:ascii="Times New Roman" w:hAnsi="Times New Roman"/>
          <w:b/>
          <w:i w:val="0"/>
          <w:sz w:val="24"/>
        </w:rPr>
        <w:t>Transcellular pathways.</w:t>
      </w:r>
      <w:r>
        <w:rPr>
          <w:rFonts w:ascii="Times New Roman" w:hAnsi="Times New Roman"/>
          <w:b w:val="0"/>
          <w:i w:val="0"/>
          <w:sz w:val="24"/>
        </w:rPr>
        <w:t xml:space="preserve"> Particles &lt;1 μm can be internalized by enterocytes via endocytosis (clathrin-mediated, caveolae-mediated, or macropinocytosis), with uptake efficiency inversely proportional to particle size [46]. Nanoplastics (50–100 nm) show substantially higher transcellular permeability than microplastics. In Caco-2 monolayer models, the apparent permeability (Papp) of 100 nm PS particles was approximately 10-fold higher than that of 1 μm particles [47].</w:t>
      </w:r>
    </w:p>
    <w:p w14:paraId="44997E17">
      <w:r>
        <w:rPr>
          <w:rFonts w:ascii="Times New Roman" w:hAnsi="Times New Roman"/>
          <w:b/>
          <w:i w:val="0"/>
          <w:sz w:val="24"/>
        </w:rPr>
        <w:t>M-cell mediated uptake.</w:t>
      </w:r>
      <w:r>
        <w:rPr>
          <w:rFonts w:ascii="Times New Roman" w:hAnsi="Times New Roman"/>
          <w:b w:val="0"/>
          <w:i w:val="0"/>
          <w:sz w:val="24"/>
        </w:rPr>
        <w:t xml:space="preserve"> M cells overlying Peyer's patches represent a specialized pathway for particulate uptake. M cells lack the thick glycocalyx and brush border of enterocytes and actively sample luminal particulates for immune surveillance. Studies using Caco-2/Raji B co-culture models (which induce M-cell differentiation) have shown 5–10-fold enhanced translocation of 200 nm PS particles compared to enterocyte-only monolayers [48].</w:t>
      </w:r>
    </w:p>
    <w:p w14:paraId="717823E3">
      <w:r>
        <w:rPr>
          <w:rFonts w:ascii="Times New Roman" w:hAnsi="Times New Roman"/>
          <w:b/>
          <w:i w:val="0"/>
          <w:sz w:val="24"/>
        </w:rPr>
        <w:t>Paracellular transport.</w:t>
      </w:r>
      <w:r>
        <w:rPr>
          <w:rFonts w:ascii="Times New Roman" w:hAnsi="Times New Roman"/>
          <w:b w:val="0"/>
          <w:i w:val="0"/>
          <w:sz w:val="24"/>
        </w:rPr>
        <w:t xml:space="preserve"> Tight junctions normally restrict paracellular passage to molecules &lt;1 nm in diameter. However, iMNPs may indirectly promote paracellular transport by: (a) disrupting tight junction protein expression (ZO-1, occludin, claudins) through inflammatory signaling [49]; (b) physically destabilizing membrane integrity at high local concentrations [50]; and (c) carrying adsorbed contaminants (e.g., bisphenol A, heavy metals) that independently compromise barrier function [20]. Evidence from in vitro studies suggests that nanoplastics at concentrations ≥50 μg/mL can reduce transepithelial electrical resistance (TEER) by 20–40%, indicating barrier compromise [51].</w:t>
      </w:r>
    </w:p>
    <w:p w14:paraId="3923485E">
      <w:r>
        <w:rPr>
          <w:rFonts w:ascii="Times New Roman" w:hAnsi="Times New Roman"/>
          <w:b/>
          <w:i w:val="0"/>
          <w:sz w:val="24"/>
        </w:rPr>
        <w:t>Mucus layer interactions.</w:t>
      </w:r>
      <w:r>
        <w:rPr>
          <w:rFonts w:ascii="Times New Roman" w:hAnsi="Times New Roman"/>
          <w:b w:val="0"/>
          <w:i w:val="0"/>
          <w:sz w:val="24"/>
        </w:rPr>
        <w:t xml:space="preserve"> Before reaching the epithelium, ingested particles must traverse the mucus gel layer (10–400 μm thick). Particle-mucus interactions are governed by size, surface charge, and hydrophobicity. Hydrophobic particles &gt;500 nm are efficiently trapped in mucus, while smaller hydrophilic or PEGylated particles exhibit enhanced mucus penetration [52].</w:t>
      </w:r>
    </w:p>
    <w:p w14:paraId="445810AC">
      <w:pPr>
        <w:pStyle w:val="5"/>
      </w:pPr>
      <w:r>
        <w:rPr>
          <w:rFonts w:ascii="Times New Roman" w:hAnsi="Times New Roman"/>
          <w:color w:val="000000"/>
        </w:rPr>
        <w:t>8.5.2 Alveolar-Capillary Barrier</w:t>
      </w:r>
    </w:p>
    <w:p w14:paraId="24DB24E9">
      <w:r>
        <w:rPr>
          <w:rFonts w:ascii="Times New Roman" w:hAnsi="Times New Roman"/>
          <w:b w:val="0"/>
          <w:i w:val="0"/>
          <w:sz w:val="24"/>
        </w:rPr>
        <w:t>The alveolar-capillary barrier is the thinnest barrier in the body (~0.1–0.5 μm), consisting of type I pneumocytes, a fused basement membrane, and capillary endothelial cells [53]. This extreme thinness, designed for efficient gas exchange, also renders it vulnerable to particle translocation.</w:t>
      </w:r>
    </w:p>
    <w:p w14:paraId="19321C6B">
      <w:r>
        <w:rPr>
          <w:rFonts w:ascii="Times New Roman" w:hAnsi="Times New Roman"/>
          <w:b/>
          <w:i w:val="0"/>
          <w:sz w:val="24"/>
        </w:rPr>
        <w:t>Deposition mechanics.</w:t>
      </w:r>
      <w:r>
        <w:rPr>
          <w:rFonts w:ascii="Times New Roman" w:hAnsi="Times New Roman"/>
          <w:b w:val="0"/>
          <w:i w:val="0"/>
          <w:sz w:val="24"/>
        </w:rPr>
        <w:t xml:space="preserve"> Inhaled particles deposit in the respiratory tract according to their aerodynamic diameter: particles &gt;10 μm deposit in the nasopharynx, 5–10 μm in the bronchi, 1–5 μm in the bronchioles, and &lt;1 μm can reach the alveoli [35]. The alveolar deposition fraction peaks at ~20% for particles around 2–3 μm and increases again for ultrafine/nanoparticles (&lt;100 nm) due to diffusion [54].</w:t>
      </w:r>
    </w:p>
    <w:p w14:paraId="13486292">
      <w:r>
        <w:rPr>
          <w:rFonts w:ascii="Times New Roman" w:hAnsi="Times New Roman"/>
          <w:b/>
          <w:i w:val="0"/>
          <w:sz w:val="24"/>
        </w:rPr>
        <w:t>Translocation mechanisms.</w:t>
      </w:r>
      <w:r>
        <w:rPr>
          <w:rFonts w:ascii="Times New Roman" w:hAnsi="Times New Roman"/>
          <w:b w:val="0"/>
          <w:i w:val="0"/>
          <w:sz w:val="24"/>
        </w:rPr>
        <w:t xml:space="preserve"> Once deposited in the alveolar space, particles may translocate across the air-blood barrier via: (a) transcytosis through type I pneumocytes; (b) uptake by alveolar macrophages followed by migration to pulmonary lymphatics; and (c) direct penetration through epithelial discontinuities or via thin-walled capillaries [55]. Particle translocation rates from the alveolar space to the bloodstream have been estimated at 1–5% for 100 nm particles in rodent models, decreasing with increasing particle size [56].</w:t>
      </w:r>
    </w:p>
    <w:p w14:paraId="4B353391">
      <w:r>
        <w:rPr>
          <w:rFonts w:ascii="Times New Roman" w:hAnsi="Times New Roman"/>
          <w:b/>
          <w:i w:val="0"/>
          <w:sz w:val="24"/>
        </w:rPr>
        <w:t>Clearance mechanisms.</w:t>
      </w:r>
      <w:r>
        <w:rPr>
          <w:rFonts w:ascii="Times New Roman" w:hAnsi="Times New Roman"/>
          <w:b w:val="0"/>
          <w:i w:val="0"/>
          <w:sz w:val="24"/>
        </w:rPr>
        <w:t xml:space="preserve"> Particles deposited in the conducting airways are cleared by mucociliary transport (half-life ~24 hours), while alveolar-deposited particles are cleared primarily by macrophage-mediated phagocytosis and lymphatic drainage (half-life weeks to months) [57]. Overloading of macrophage clearance capacity can lead to "frustrated phagocytosis" and inflammatory cascades, particularly with fibrous particles [58].</w:t>
      </w:r>
    </w:p>
    <w:p w14:paraId="20D4E19E">
      <w:pPr>
        <w:pStyle w:val="5"/>
      </w:pPr>
      <w:r>
        <w:rPr>
          <w:rFonts w:ascii="Times New Roman" w:hAnsi="Times New Roman"/>
          <w:color w:val="000000"/>
        </w:rPr>
        <w:t>8.5.3 Blood-Brain Barrier</w:t>
      </w:r>
    </w:p>
    <w:p w14:paraId="505B0B36">
      <w:r>
        <w:rPr>
          <w:rFonts w:ascii="Times New Roman" w:hAnsi="Times New Roman"/>
          <w:b w:val="0"/>
          <w:i w:val="0"/>
          <w:sz w:val="24"/>
        </w:rPr>
        <w:t>The blood-brain barrier (BBB) is the most restrictive biological barrier in the body, formed by brain microvascular endothelial cells connected by continuous tight junctions, surrounded by pericytes and astrocyte endfeet [59]. The BBB selectively excludes &gt;98% of small molecules and essentially all macromolecules from the brain parenchyma.</w:t>
      </w:r>
    </w:p>
    <w:p w14:paraId="76D346D7">
      <w:r>
        <w:rPr>
          <w:rFonts w:ascii="Times New Roman" w:hAnsi="Times New Roman"/>
          <w:b w:val="0"/>
          <w:i w:val="0"/>
          <w:sz w:val="24"/>
        </w:rPr>
        <w:t>Recent studies have challenged the assumption that iMNPs cannot cross the BBB. Kopatz et al. (2023) demonstrated that orally administered PS microparticles (9.5 μm) could be detected in mouse brain tissue within 2 hours of gavage, with the mechanism linked to cholesterol adsorption forming a "biomolecular corona" that facilitated receptor-mediated transcytosis via low-density lipoprotein receptor (LDLR) [40]. Shan et al. (2022) showed that 80 nm PS nanoplastics accumulated in zebrafish brain tissue and induced neurotoxicity through microglial activation [60]. The recent detection of microplastics in human brain tissue by Nihart et al. (2025), with concentrations significantly higher than in liver and kidney, provides direct human evidence of BBB penetration by plastic particles [41].</w:t>
      </w:r>
    </w:p>
    <w:p w14:paraId="070A5E75">
      <w:r>
        <w:rPr>
          <w:rFonts w:ascii="Times New Roman" w:hAnsi="Times New Roman"/>
          <w:b w:val="0"/>
          <w:i w:val="0"/>
          <w:sz w:val="24"/>
        </w:rPr>
        <w:t>Potential BBB-crossing mechanisms for iMNPs include: (a) receptor-mediated transcytosis (exploiting LDLR, transferrin receptor, or other endocytic receptors via biomolecular corona formation); (b) adsorptive-mediated transcytosis (cationic surface charges interacting with anionic endothelial glycocalyx); and (c) circumventricular organ entry (brain regions lacking complete BBB) [61].</w:t>
      </w:r>
    </w:p>
    <w:p w14:paraId="5937D5BA">
      <w:pPr>
        <w:pStyle w:val="5"/>
      </w:pPr>
      <w:r>
        <w:rPr>
          <w:rFonts w:ascii="Times New Roman" w:hAnsi="Times New Roman"/>
          <w:color w:val="000000"/>
        </w:rPr>
        <w:t>8.5.4 Placental Barrier</w:t>
      </w:r>
    </w:p>
    <w:p w14:paraId="2A7EFCB2">
      <w:r>
        <w:rPr>
          <w:rFonts w:ascii="Times New Roman" w:hAnsi="Times New Roman"/>
          <w:b w:val="0"/>
          <w:i w:val="0"/>
          <w:sz w:val="24"/>
        </w:rPr>
        <w:t>The human placental barrier separates maternal and fetal circulation through syncytiotrophoblast layers, a basement membrane, and fetal capillary endothelium. The discovery of microplastics in human placental tissue by Ragusa et al. (2021) raised profound concerns about prenatal exposure [44].</w:t>
      </w:r>
    </w:p>
    <w:p w14:paraId="19C1F998">
      <w:r>
        <w:rPr>
          <w:rFonts w:ascii="Times New Roman" w:hAnsi="Times New Roman"/>
          <w:b/>
          <w:i w:val="0"/>
          <w:sz w:val="24"/>
        </w:rPr>
        <w:t>Ex vivo perfusion studies.</w:t>
      </w:r>
      <w:r>
        <w:rPr>
          <w:rFonts w:ascii="Times New Roman" w:hAnsi="Times New Roman"/>
          <w:b w:val="0"/>
          <w:i w:val="0"/>
          <w:sz w:val="24"/>
        </w:rPr>
        <w:t xml:space="preserve"> The ex vivo human placental perfusion model, first applied to nanoplastics by Wick et al. (2010), demonstrated size-dependent transplacental transfer: PS particles ≤240 nm crossed the placental barrier within 6 hours, while 500 nm particles did not [43]. Subsequent studies confirmed that surface charge and functionalization modulate placental transfer efficiency, with carboxylated particles showing enhanced maternal-to-fetal transport compared to unmodified or aminated variants [62].</w:t>
      </w:r>
    </w:p>
    <w:p w14:paraId="1E016BA1">
      <w:r>
        <w:rPr>
          <w:rFonts w:ascii="Times New Roman" w:hAnsi="Times New Roman"/>
          <w:b/>
          <w:i w:val="0"/>
          <w:sz w:val="24"/>
        </w:rPr>
        <w:t>In vivo evidence.</w:t>
      </w:r>
      <w:r>
        <w:rPr>
          <w:rFonts w:ascii="Times New Roman" w:hAnsi="Times New Roman"/>
          <w:b w:val="0"/>
          <w:i w:val="0"/>
          <w:sz w:val="24"/>
        </w:rPr>
        <w:t xml:space="preserve"> Halfar et al. (2023) detected microplastics in 9 out of 10 human placentas (90%) and, notably, in amniotic fluid, demonstrating that particles reach the fetal compartment [63]. The meta-analysis presented in Section 8.9 of this chapter confirms the high detection prevalence in placental tissue (90.0%, 95% CI: 59.6–98.2%).</w:t>
      </w:r>
    </w:p>
    <w:p w14:paraId="56590C8D">
      <w:r>
        <w:rPr>
          <w:rFonts w:ascii="Times New Roman" w:hAnsi="Times New Roman"/>
          <w:b/>
          <w:i w:val="0"/>
          <w:sz w:val="24"/>
        </w:rPr>
        <w:t>Implications for fetal development.</w:t>
      </w:r>
      <w:r>
        <w:rPr>
          <w:rFonts w:ascii="Times New Roman" w:hAnsi="Times New Roman"/>
          <w:b w:val="0"/>
          <w:i w:val="0"/>
          <w:sz w:val="24"/>
        </w:rPr>
        <w:t xml:space="preserve"> Transplacental transfer of iMNPs raises concerns about exposure during critical developmental windows. Emerging evidence links prenatal MP/NP exposure to altered placental function (reduced human chorionic gonadotropin secretion), changes in meconium microbiome composition, and potential epigenetic modifications [79,80].</w:t>
      </w:r>
    </w:p>
    <w:p w14:paraId="56AF9E50">
      <w:pPr>
        <w:pStyle w:val="4"/>
      </w:pPr>
      <w:r>
        <w:rPr>
          <w:rFonts w:ascii="Times New Roman" w:hAnsi="Times New Roman"/>
          <w:color w:val="000000"/>
        </w:rPr>
        <w:t>8.6 Translocation Mechanisms</w:t>
      </w:r>
    </w:p>
    <w:p w14:paraId="645114CF">
      <w:pPr>
        <w:pStyle w:val="5"/>
      </w:pPr>
      <w:r>
        <w:rPr>
          <w:rFonts w:ascii="Times New Roman" w:hAnsi="Times New Roman"/>
          <w:color w:val="000000"/>
        </w:rPr>
        <w:t>8.6.1 Transcellular Transport (Endocytosis)</w:t>
      </w:r>
    </w:p>
    <w:p w14:paraId="37059CF3">
      <w:r>
        <w:rPr>
          <w:rFonts w:ascii="Times New Roman" w:hAnsi="Times New Roman"/>
          <w:b w:val="0"/>
          <w:i w:val="0"/>
          <w:sz w:val="24"/>
        </w:rPr>
        <w:t>Transcellular transport of iMNPs is primarily mediated by endocytic pathways. The specific endocytic mechanism engaged depends on particle size, shape, surface charge, and the cell type encountered [64]:</w:t>
      </w:r>
    </w:p>
    <w:p w14:paraId="42A4CCA7">
      <w:pPr>
        <w:pStyle w:val="16"/>
      </w:pPr>
      <w:r>
        <w:rPr>
          <w:rFonts w:ascii="Times New Roman" w:hAnsi="Times New Roman"/>
          <w:b/>
          <w:i w:val="0"/>
          <w:sz w:val="24"/>
        </w:rPr>
        <w:t>Clathrin-mediated endocytosis (CME):</w:t>
      </w:r>
      <w:r>
        <w:rPr>
          <w:rFonts w:ascii="Times New Roman" w:hAnsi="Times New Roman"/>
          <w:b w:val="0"/>
          <w:i w:val="0"/>
          <w:sz w:val="24"/>
        </w:rPr>
        <w:t xml:space="preserve"> The principal pathway for particles 50–200 nm, involving clathrin coat assembly around membrane invaginations forming ~120 nm vesicles. CME has been shown to be the dominant uptake pathway for PS nanoplastics in intestinal epithelial cells [64].</w:t>
      </w:r>
    </w:p>
    <w:p w14:paraId="085777CE">
      <w:pPr>
        <w:pStyle w:val="16"/>
      </w:pPr>
      <w:r>
        <w:rPr>
          <w:rFonts w:ascii="Times New Roman" w:hAnsi="Times New Roman"/>
          <w:b/>
          <w:i w:val="0"/>
          <w:sz w:val="24"/>
        </w:rPr>
        <w:t>Caveolae-mediated endocytosis:</w:t>
      </w:r>
      <w:r>
        <w:rPr>
          <w:rFonts w:ascii="Times New Roman" w:hAnsi="Times New Roman"/>
          <w:b w:val="0"/>
          <w:i w:val="0"/>
          <w:sz w:val="24"/>
        </w:rPr>
        <w:t xml:space="preserve"> Involves 50–100 nm flask-shaped membrane invaginations enriched in caveolin-1. This pathway can bypass lysosomal degradation, potentially enabling intact transcytosis of nanoparticles [65].</w:t>
      </w:r>
    </w:p>
    <w:p w14:paraId="7D5176A4">
      <w:pPr>
        <w:pStyle w:val="16"/>
      </w:pPr>
      <w:r>
        <w:rPr>
          <w:rFonts w:ascii="Times New Roman" w:hAnsi="Times New Roman"/>
          <w:b/>
          <w:i w:val="0"/>
          <w:sz w:val="24"/>
        </w:rPr>
        <w:t>Macropinocytosis:</w:t>
      </w:r>
      <w:r>
        <w:rPr>
          <w:rFonts w:ascii="Times New Roman" w:hAnsi="Times New Roman"/>
          <w:b w:val="0"/>
          <w:i w:val="0"/>
          <w:sz w:val="24"/>
        </w:rPr>
        <w:t xml:space="preserve"> A non-specific pathway for larger particles (&gt;200 nm–5 μm), driven by actin-dependent membrane ruffling. Macropinocytosis is particularly active in macrophages and dendritic cells [66].</w:t>
      </w:r>
    </w:p>
    <w:p w14:paraId="2B08F4A9">
      <w:pPr>
        <w:pStyle w:val="16"/>
      </w:pPr>
      <w:r>
        <w:rPr>
          <w:rFonts w:ascii="Times New Roman" w:hAnsi="Times New Roman"/>
          <w:b/>
          <w:i w:val="0"/>
          <w:sz w:val="24"/>
        </w:rPr>
        <w:t>Phagocytosis:</w:t>
      </w:r>
      <w:r>
        <w:rPr>
          <w:rFonts w:ascii="Times New Roman" w:hAnsi="Times New Roman"/>
          <w:b w:val="0"/>
          <w:i w:val="0"/>
          <w:sz w:val="24"/>
        </w:rPr>
        <w:t xml:space="preserve"> Professional phagocytes (macrophages, neutrophils) can internalize particles up to 10 μm through receptor-mediated phagocytosis. Opsonization of iMNPs by complement proteins and immunoglobulins enhances phagocytic uptake [67].</w:t>
      </w:r>
    </w:p>
    <w:p w14:paraId="6090D352">
      <w:r>
        <w:rPr>
          <w:rFonts w:ascii="Times New Roman" w:hAnsi="Times New Roman"/>
          <w:b w:val="0"/>
          <w:i w:val="0"/>
          <w:sz w:val="24"/>
        </w:rPr>
        <w:t>The biomolecular corona—the layer of proteins, lipids, and other biomolecules that rapidly adsorbs onto iMNP surfaces upon entering biological fluids—profoundly influences which endocytic pathway is engaged. Corona composition varies by biological compartment (blood, lung surfactant, gastrointestinal fluid) and can either enhance or inhibit cellular uptake [68,87].</w:t>
      </w:r>
    </w:p>
    <w:p w14:paraId="1315B46C">
      <w:pPr>
        <w:pStyle w:val="5"/>
      </w:pPr>
      <w:r>
        <w:rPr>
          <w:rFonts w:ascii="Times New Roman" w:hAnsi="Times New Roman"/>
          <w:color w:val="000000"/>
        </w:rPr>
        <w:t>8.6.2 Paracellular Transport (Tight Junction Disruption)</w:t>
      </w:r>
    </w:p>
    <w:p w14:paraId="4E481A4C">
      <w:r>
        <w:rPr>
          <w:rFonts w:ascii="Times New Roman" w:hAnsi="Times New Roman"/>
          <w:b w:val="0"/>
          <w:i w:val="0"/>
          <w:sz w:val="24"/>
        </w:rPr>
        <w:t>Paracellular transport through intercellular tight junctions is normally restricted to ions and small molecules (&lt;1 nm). However, iMNPs can indirectly promote paracellular permeability through several mechanisms [69]:</w:t>
      </w:r>
    </w:p>
    <w:p w14:paraId="42D39DAF">
      <w:pPr>
        <w:pStyle w:val="16"/>
      </w:pPr>
      <w:r>
        <w:rPr>
          <w:rFonts w:ascii="Times New Roman" w:hAnsi="Times New Roman"/>
          <w:b/>
          <w:i w:val="0"/>
          <w:sz w:val="24"/>
        </w:rPr>
        <w:t>Inflammatory cytokine-mediated disruption:</w:t>
      </w:r>
      <w:r>
        <w:rPr>
          <w:rFonts w:ascii="Times New Roman" w:hAnsi="Times New Roman"/>
          <w:b w:val="0"/>
          <w:i w:val="0"/>
          <w:sz w:val="24"/>
        </w:rPr>
        <w:t xml:space="preserve"> iMNPs activate innate immune signaling (NF-κB, NLRP3 inflammasome), leading to release of pro-inflammatory cytokines (TNF-α, IL-1β, IL-6) that downregulate tight junction protein expression [49,89].</w:t>
      </w:r>
    </w:p>
    <w:p w14:paraId="0044E32E">
      <w:pPr>
        <w:pStyle w:val="16"/>
      </w:pPr>
      <w:r>
        <w:rPr>
          <w:rFonts w:ascii="Times New Roman" w:hAnsi="Times New Roman"/>
          <w:b/>
          <w:i w:val="0"/>
          <w:sz w:val="24"/>
        </w:rPr>
        <w:t>Reactive oxygen species (ROS):</w:t>
      </w:r>
      <w:r>
        <w:rPr>
          <w:rFonts w:ascii="Times New Roman" w:hAnsi="Times New Roman"/>
          <w:b w:val="0"/>
          <w:i w:val="0"/>
          <w:sz w:val="24"/>
        </w:rPr>
        <w:t xml:space="preserve"> Oxidative stress induced by iMNPs can directly damage tight junction complexes and promote epithelial barrier dysfunction [70].</w:t>
      </w:r>
    </w:p>
    <w:p w14:paraId="37200CED">
      <w:pPr>
        <w:pStyle w:val="16"/>
      </w:pPr>
      <w:r>
        <w:rPr>
          <w:rFonts w:ascii="Times New Roman" w:hAnsi="Times New Roman"/>
          <w:b/>
          <w:i w:val="0"/>
          <w:sz w:val="24"/>
        </w:rPr>
        <w:t>Direct physical disruption:</w:t>
      </w:r>
      <w:r>
        <w:rPr>
          <w:rFonts w:ascii="Times New Roman" w:hAnsi="Times New Roman"/>
          <w:b w:val="0"/>
          <w:i w:val="0"/>
          <w:sz w:val="24"/>
        </w:rPr>
        <w:t xml:space="preserve"> At high concentrations, nanoplastics may physically insert into lipid bilayers and disrupt membrane-associated tight junction anchoring [71].</w:t>
      </w:r>
    </w:p>
    <w:p w14:paraId="4B505AC8">
      <w:pPr>
        <w:pStyle w:val="5"/>
      </w:pPr>
      <w:r>
        <w:rPr>
          <w:rFonts w:ascii="Times New Roman" w:hAnsi="Times New Roman"/>
          <w:color w:val="000000"/>
        </w:rPr>
        <w:t>8.6.3 M-Cell Mediated Transport</w:t>
      </w:r>
    </w:p>
    <w:p w14:paraId="1923DE89">
      <w:r>
        <w:rPr>
          <w:rFonts w:ascii="Times New Roman" w:hAnsi="Times New Roman"/>
          <w:b w:val="0"/>
          <w:i w:val="0"/>
          <w:sz w:val="24"/>
        </w:rPr>
        <w:t>M (microfold) cells, found in the follicle-associated epithelium of Peyer's patches and isolated lymphoid follicles, represent a specialized transcytotic pathway for particulate antigens [72]. Key features of M-cell mediated iMNP transport include:</w:t>
      </w:r>
    </w:p>
    <w:p w14:paraId="414A8A34">
      <w:pPr>
        <w:pStyle w:val="16"/>
      </w:pPr>
      <w:r>
        <w:rPr>
          <w:rFonts w:ascii="Times New Roman" w:hAnsi="Times New Roman"/>
          <w:b/>
          <w:i w:val="0"/>
          <w:sz w:val="24"/>
        </w:rPr>
        <w:t>Enhanced particle uptake capacity:</w:t>
      </w:r>
      <w:r>
        <w:rPr>
          <w:rFonts w:ascii="Times New Roman" w:hAnsi="Times New Roman"/>
          <w:b w:val="0"/>
          <w:i w:val="0"/>
          <w:sz w:val="24"/>
        </w:rPr>
        <w:t xml:space="preserve"> M cells actively sample particles up to 10 μm from the intestinal lumen, with preferential uptake of hydrophobic particles in the 50 nm–5 μm range [73].</w:t>
      </w:r>
    </w:p>
    <w:p w14:paraId="0AD26DA1">
      <w:pPr>
        <w:pStyle w:val="16"/>
      </w:pPr>
      <w:r>
        <w:rPr>
          <w:rFonts w:ascii="Times New Roman" w:hAnsi="Times New Roman"/>
          <w:b/>
          <w:i w:val="0"/>
          <w:sz w:val="24"/>
        </w:rPr>
        <w:t>Basolateral delivery to immune cells:</w:t>
      </w:r>
      <w:r>
        <w:rPr>
          <w:rFonts w:ascii="Times New Roman" w:hAnsi="Times New Roman"/>
          <w:b w:val="0"/>
          <w:i w:val="0"/>
          <w:sz w:val="24"/>
        </w:rPr>
        <w:t xml:space="preserve"> Transcytosed particles are released to subepithelial dendritic cells and macrophages, potentially entering lymphatic circulation and reaching mesenteric lymph nodes [74].</w:t>
      </w:r>
    </w:p>
    <w:p w14:paraId="04E5DA7C">
      <w:pPr>
        <w:pStyle w:val="16"/>
      </w:pPr>
      <w:r>
        <w:rPr>
          <w:rFonts w:ascii="Times New Roman" w:hAnsi="Times New Roman"/>
          <w:b/>
          <w:i w:val="0"/>
          <w:sz w:val="24"/>
        </w:rPr>
        <w:t>Quantitative significance:</w:t>
      </w:r>
      <w:r>
        <w:rPr>
          <w:rFonts w:ascii="Times New Roman" w:hAnsi="Times New Roman"/>
          <w:b w:val="0"/>
          <w:i w:val="0"/>
          <w:sz w:val="24"/>
        </w:rPr>
        <w:t xml:space="preserve"> M cells constitute only ~1% of intestinal epithelial cells but may account for &gt;50% of total particulate translocation across the intestinal barrier [75].</w:t>
      </w:r>
    </w:p>
    <w:p w14:paraId="1924C741">
      <w:pPr>
        <w:pStyle w:val="4"/>
      </w:pPr>
      <w:r>
        <w:rPr>
          <w:rFonts w:ascii="Times New Roman" w:hAnsi="Times New Roman"/>
          <w:color w:val="000000"/>
        </w:rPr>
        <w:t>8.7 Retention and Clearance</w:t>
      </w:r>
    </w:p>
    <w:p w14:paraId="5ADA5444">
      <w:pPr>
        <w:pStyle w:val="5"/>
      </w:pPr>
      <w:r>
        <w:rPr>
          <w:rFonts w:ascii="Times New Roman" w:hAnsi="Times New Roman"/>
          <w:color w:val="000000"/>
        </w:rPr>
        <w:t>8.7.1 Half-Life Estimates</w:t>
      </w:r>
    </w:p>
    <w:p w14:paraId="3FD31D7F">
      <w:r>
        <w:rPr>
          <w:rFonts w:ascii="Times New Roman" w:hAnsi="Times New Roman"/>
          <w:b w:val="0"/>
          <w:i w:val="0"/>
          <w:sz w:val="24"/>
        </w:rPr>
        <w:t>The biological half-life of iMNPs—the time required for elimination of 50% of the tissue burden—varies dramatically depending on particle size, polymer type, tissue location, and host factors [76]. Current estimates, derived primarily from animal studies, include:</w:t>
      </w:r>
    </w:p>
    <w:p w14:paraId="3FB456BB">
      <w:pPr>
        <w:pStyle w:val="16"/>
      </w:pPr>
      <w:r>
        <w:rPr>
          <w:rFonts w:ascii="Times New Roman" w:hAnsi="Times New Roman"/>
          <w:b/>
          <w:i w:val="0"/>
          <w:sz w:val="24"/>
        </w:rPr>
        <w:t>Gastrointestinal transit:</w:t>
      </w:r>
      <w:r>
        <w:rPr>
          <w:rFonts w:ascii="Times New Roman" w:hAnsi="Times New Roman"/>
          <w:b w:val="0"/>
          <w:i w:val="0"/>
          <w:sz w:val="24"/>
        </w:rPr>
        <w:t xml:space="preserve"> Half-life of 24–48 hours for orally ingested particles that are not systemically absorbed (&gt;99% of ingested particles) [38].</w:t>
      </w:r>
    </w:p>
    <w:p w14:paraId="169836B4">
      <w:pPr>
        <w:pStyle w:val="16"/>
      </w:pPr>
      <w:r>
        <w:rPr>
          <w:rFonts w:ascii="Times New Roman" w:hAnsi="Times New Roman"/>
          <w:b/>
          <w:i w:val="0"/>
          <w:sz w:val="24"/>
        </w:rPr>
        <w:t>Pulmonary clearance:</w:t>
      </w:r>
      <w:r>
        <w:rPr>
          <w:rFonts w:ascii="Times New Roman" w:hAnsi="Times New Roman"/>
          <w:b w:val="0"/>
          <w:i w:val="0"/>
          <w:sz w:val="24"/>
        </w:rPr>
        <w:t xml:space="preserve"> Alveolar macrophage-mediated clearance has a half-life of weeks to months. In industrial hygiene studies of fibrous particles, pulmonary retention half-lives of 1–3 years have been documented [57,97].</w:t>
      </w:r>
    </w:p>
    <w:p w14:paraId="0BB3FE9D">
      <w:pPr>
        <w:pStyle w:val="16"/>
      </w:pPr>
      <w:r>
        <w:rPr>
          <w:rFonts w:ascii="Times New Roman" w:hAnsi="Times New Roman"/>
          <w:b/>
          <w:i w:val="0"/>
          <w:sz w:val="24"/>
        </w:rPr>
        <w:t>Systemic circulation:</w:t>
      </w:r>
      <w:r>
        <w:rPr>
          <w:rFonts w:ascii="Times New Roman" w:hAnsi="Times New Roman"/>
          <w:b w:val="0"/>
          <w:i w:val="0"/>
          <w:sz w:val="24"/>
        </w:rPr>
        <w:t xml:space="preserve"> Particles in the bloodstream are rapidly cleared by the reticuloendothelial system (primarily liver and spleen), with circulating half-lives estimated at minutes to hours for uncoated particles [37].</w:t>
      </w:r>
    </w:p>
    <w:p w14:paraId="597A7F10">
      <w:pPr>
        <w:pStyle w:val="16"/>
      </w:pPr>
      <w:r>
        <w:rPr>
          <w:rFonts w:ascii="Times New Roman" w:hAnsi="Times New Roman"/>
          <w:b/>
          <w:i w:val="0"/>
          <w:sz w:val="24"/>
        </w:rPr>
        <w:t>Tissue retention:</w:t>
      </w:r>
      <w:r>
        <w:rPr>
          <w:rFonts w:ascii="Times New Roman" w:hAnsi="Times New Roman"/>
          <w:b w:val="0"/>
          <w:i w:val="0"/>
          <w:sz w:val="24"/>
        </w:rPr>
        <w:t xml:space="preserve"> Once sequestered in organs (liver, spleen, lymph nodes), iMNPs may persist for months to years in the absence of enzymatic degradation, as mammalian biology lacks enzymes capable of depolymerizing synthetic plastics [77].</w:t>
      </w:r>
    </w:p>
    <w:p w14:paraId="0C28F541">
      <w:r>
        <w:rPr>
          <w:rFonts w:ascii="Times New Roman" w:hAnsi="Times New Roman"/>
          <w:b w:val="0"/>
          <w:i w:val="0"/>
          <w:sz w:val="24"/>
        </w:rPr>
        <w:t>The concept of "half-life" for iMNPs is complicated by the potential for continuous re-exposure (daily ingestion and inhalation), creating a steady-state body burden rather than a simple clearance curve [78].</w:t>
      </w:r>
    </w:p>
    <w:p w14:paraId="0DE9325E">
      <w:pPr>
        <w:pStyle w:val="5"/>
      </w:pPr>
      <w:r>
        <w:rPr>
          <w:rFonts w:ascii="Times New Roman" w:hAnsi="Times New Roman"/>
          <w:color w:val="000000"/>
        </w:rPr>
        <w:t>8.7.2 Excretion Routes</w:t>
      </w:r>
    </w:p>
    <w:p w14:paraId="38E2D050">
      <w:r>
        <w:rPr>
          <w:rFonts w:ascii="Times New Roman" w:hAnsi="Times New Roman"/>
          <w:b w:val="0"/>
          <w:i w:val="0"/>
          <w:sz w:val="24"/>
        </w:rPr>
        <w:t>The principal excretion routes for iMNPs include:</w:t>
      </w:r>
    </w:p>
    <w:p w14:paraId="1B56AF52">
      <w:pPr>
        <w:pStyle w:val="16"/>
      </w:pPr>
      <w:r>
        <w:rPr>
          <w:rFonts w:ascii="Times New Roman" w:hAnsi="Times New Roman"/>
          <w:b/>
          <w:i w:val="0"/>
          <w:sz w:val="24"/>
        </w:rPr>
        <w:t>Fecal excretion:</w:t>
      </w:r>
      <w:r>
        <w:rPr>
          <w:rFonts w:ascii="Times New Roman" w:hAnsi="Times New Roman"/>
          <w:b w:val="0"/>
          <w:i w:val="0"/>
          <w:sz w:val="24"/>
        </w:rPr>
        <w:t xml:space="preserve"> The dominant elimination pathway for ingested particles, accounting for &gt;90% of orally administered MP/NP dose in animal studies [38]. The detection of microplastics in human stool (pooled prevalence 85.3% in our meta-analysis) directly reflects this fecal excretion pathway.</w:t>
      </w:r>
    </w:p>
    <w:p w14:paraId="27D459AB">
      <w:pPr>
        <w:pStyle w:val="16"/>
      </w:pPr>
      <w:r>
        <w:rPr>
          <w:rFonts w:ascii="Times New Roman" w:hAnsi="Times New Roman"/>
          <w:b/>
          <w:i w:val="0"/>
          <w:sz w:val="24"/>
        </w:rPr>
        <w:t>Biliary excretion:</w:t>
      </w:r>
      <w:r>
        <w:rPr>
          <w:rFonts w:ascii="Times New Roman" w:hAnsi="Times New Roman"/>
          <w:b w:val="0"/>
          <w:i w:val="0"/>
          <w:sz w:val="24"/>
        </w:rPr>
        <w:t xml:space="preserve"> Hepatocytes can excrete particles into bile via canalicular transport, contributing to fecal elimination of systemically distributed particles [79].</w:t>
      </w:r>
    </w:p>
    <w:p w14:paraId="3F64B693">
      <w:pPr>
        <w:pStyle w:val="16"/>
      </w:pPr>
      <w:r>
        <w:rPr>
          <w:rFonts w:ascii="Times New Roman" w:hAnsi="Times New Roman"/>
          <w:b/>
          <w:i w:val="0"/>
          <w:sz w:val="24"/>
        </w:rPr>
        <w:t>Renal excretion:</w:t>
      </w:r>
      <w:r>
        <w:rPr>
          <w:rFonts w:ascii="Times New Roman" w:hAnsi="Times New Roman"/>
          <w:b w:val="0"/>
          <w:i w:val="0"/>
          <w:sz w:val="24"/>
        </w:rPr>
        <w:t xml:space="preserve"> Limited to very small nanoparticles (&lt;6–8 nm) that can pass through the glomerular filtration barrier [39,101].</w:t>
      </w:r>
    </w:p>
    <w:p w14:paraId="5CE3CA3B">
      <w:pPr>
        <w:pStyle w:val="16"/>
      </w:pPr>
      <w:r>
        <w:rPr>
          <w:rFonts w:ascii="Times New Roman" w:hAnsi="Times New Roman"/>
          <w:b/>
          <w:i w:val="0"/>
          <w:sz w:val="24"/>
        </w:rPr>
        <w:t>Mucociliary clearance:</w:t>
      </w:r>
      <w:r>
        <w:rPr>
          <w:rFonts w:ascii="Times New Roman" w:hAnsi="Times New Roman"/>
          <w:b w:val="0"/>
          <w:i w:val="0"/>
          <w:sz w:val="24"/>
        </w:rPr>
        <w:t xml:space="preserve"> Inhaled particles deposited in the conducting airways are transported upward by ciliary action and swallowed, ultimately contributing to fecal excretion [57].</w:t>
      </w:r>
    </w:p>
    <w:p w14:paraId="75A2E908">
      <w:pPr>
        <w:pStyle w:val="16"/>
      </w:pPr>
      <w:r>
        <w:rPr>
          <w:rFonts w:ascii="Times New Roman" w:hAnsi="Times New Roman"/>
          <w:b/>
          <w:i w:val="0"/>
          <w:sz w:val="24"/>
        </w:rPr>
        <w:t>Cerumen secretion:</w:t>
      </w:r>
      <w:r>
        <w:rPr>
          <w:rFonts w:ascii="Times New Roman" w:hAnsi="Times New Roman"/>
          <w:b w:val="0"/>
          <w:i w:val="0"/>
          <w:sz w:val="24"/>
        </w:rPr>
        <w:t xml:space="preserve"> The recent detection of microplastics in human cerumen (83.3% detection rate) by Arslan et al. (2025) suggests ear wax as a novel, previously unrecognized excretion/elimination pathway [80].</w:t>
      </w:r>
    </w:p>
    <w:p w14:paraId="38DFE771">
      <w:pPr>
        <w:pStyle w:val="16"/>
      </w:pPr>
      <w:r>
        <w:rPr>
          <w:rFonts w:ascii="Times New Roman" w:hAnsi="Times New Roman"/>
          <w:b/>
          <w:i w:val="0"/>
          <w:sz w:val="24"/>
        </w:rPr>
        <w:t>Breast milk excretion:</w:t>
      </w:r>
      <w:r>
        <w:rPr>
          <w:rFonts w:ascii="Times New Roman" w:hAnsi="Times New Roman"/>
          <w:b w:val="0"/>
          <w:i w:val="0"/>
          <w:sz w:val="24"/>
        </w:rPr>
        <w:t xml:space="preserve"> Detection of MPs in breast milk (39.0% in our meta-analysis) indicates mammary secretion as both an excretion route and a potential neonatal exposure pathway [81].</w:t>
      </w:r>
    </w:p>
    <w:p w14:paraId="08945465">
      <w:pPr>
        <w:pStyle w:val="5"/>
      </w:pPr>
      <w:r>
        <w:rPr>
          <w:rFonts w:ascii="Times New Roman" w:hAnsi="Times New Roman"/>
          <w:color w:val="000000"/>
        </w:rPr>
        <w:t>8.7.3 Factors Affecting Persistence</w:t>
      </w:r>
    </w:p>
    <w:p w14:paraId="36373EA9">
      <w:r>
        <w:rPr>
          <w:rFonts w:ascii="Times New Roman" w:hAnsi="Times New Roman"/>
          <w:b w:val="0"/>
          <w:i w:val="0"/>
          <w:sz w:val="24"/>
        </w:rPr>
        <w:t>Several physicochemical and biological factors modulate the in vivo persistence of iMNPs:</w:t>
      </w:r>
    </w:p>
    <w:p w14:paraId="45AE56B3">
      <w:pPr>
        <w:pStyle w:val="16"/>
      </w:pPr>
      <w:r>
        <w:rPr>
          <w:rFonts w:ascii="Times New Roman" w:hAnsi="Times New Roman"/>
          <w:b/>
          <w:i w:val="0"/>
          <w:sz w:val="24"/>
        </w:rPr>
        <w:t>Particle size:</w:t>
      </w:r>
      <w:r>
        <w:rPr>
          <w:rFonts w:ascii="Times New Roman" w:hAnsi="Times New Roman"/>
          <w:b w:val="0"/>
          <w:i w:val="0"/>
          <w:sz w:val="24"/>
        </w:rPr>
        <w:t xml:space="preserve"> Smaller particles (&lt;1 μm) show greater tissue penetration and longer retention times compared to larger particles that are more efficiently cleared by phagocytosis [31].</w:t>
      </w:r>
    </w:p>
    <w:p w14:paraId="4AEBAD01">
      <w:pPr>
        <w:pStyle w:val="16"/>
      </w:pPr>
      <w:r>
        <w:rPr>
          <w:rFonts w:ascii="Times New Roman" w:hAnsi="Times New Roman"/>
          <w:b/>
          <w:i w:val="0"/>
          <w:sz w:val="24"/>
        </w:rPr>
        <w:t>Polymer type:</w:t>
      </w:r>
      <w:r>
        <w:rPr>
          <w:rFonts w:ascii="Times New Roman" w:hAnsi="Times New Roman"/>
          <w:b w:val="0"/>
          <w:i w:val="0"/>
          <w:sz w:val="24"/>
        </w:rPr>
        <w:t xml:space="preserve"> Chemical resistance to biological degradation varies by polymer. PE and PP are highly resistant to enzymatic attack, while polyesters (PET, PLA) may undergo slow hydrolysis in tissue environments [82].</w:t>
      </w:r>
    </w:p>
    <w:p w14:paraId="42AD7272">
      <w:pPr>
        <w:pStyle w:val="16"/>
      </w:pPr>
      <w:r>
        <w:rPr>
          <w:rFonts w:ascii="Times New Roman" w:hAnsi="Times New Roman"/>
          <w:b/>
          <w:i w:val="0"/>
          <w:sz w:val="24"/>
        </w:rPr>
        <w:t>Surface chemistry:</w:t>
      </w:r>
      <w:r>
        <w:rPr>
          <w:rFonts w:ascii="Times New Roman" w:hAnsi="Times New Roman"/>
          <w:b w:val="0"/>
          <w:i w:val="0"/>
          <w:sz w:val="24"/>
        </w:rPr>
        <w:t xml:space="preserve"> Hydrophobic, unmodified particles are more rapidly opsonized and cleared than hydrophilic or PEGylated particles [37].</w:t>
      </w:r>
    </w:p>
    <w:p w14:paraId="00CEC963">
      <w:pPr>
        <w:pStyle w:val="16"/>
      </w:pPr>
      <w:r>
        <w:rPr>
          <w:rFonts w:ascii="Times New Roman" w:hAnsi="Times New Roman"/>
          <w:b/>
          <w:i w:val="0"/>
          <w:sz w:val="24"/>
        </w:rPr>
        <w:t>Particle shape:</w:t>
      </w:r>
      <w:r>
        <w:rPr>
          <w:rFonts w:ascii="Times New Roman" w:hAnsi="Times New Roman"/>
          <w:b w:val="0"/>
          <w:i w:val="0"/>
          <w:sz w:val="24"/>
        </w:rPr>
        <w:t xml:space="preserve"> Fibrous particles (aspect ratio &gt;3:1) resist phagocytic clearance more effectively than spherical particles, potentially leading to greater tissue persistence and inflammatory responses (the "frustrated phagocytosis" paradigm) [58,105].</w:t>
      </w:r>
    </w:p>
    <w:p w14:paraId="24B56537">
      <w:pPr>
        <w:pStyle w:val="16"/>
      </w:pPr>
      <w:r>
        <w:rPr>
          <w:rFonts w:ascii="Times New Roman" w:hAnsi="Times New Roman"/>
          <w:b/>
          <w:i w:val="0"/>
          <w:sz w:val="24"/>
        </w:rPr>
        <w:t>Tissue location:</w:t>
      </w:r>
      <w:r>
        <w:rPr>
          <w:rFonts w:ascii="Times New Roman" w:hAnsi="Times New Roman"/>
          <w:b w:val="0"/>
          <w:i w:val="0"/>
          <w:sz w:val="24"/>
        </w:rPr>
        <w:t xml:space="preserve"> Particles sequestered in immune-privileged sites (brain, testes, vitreous humor) or within phagolysosomes may experience minimal clearance [77].</w:t>
      </w:r>
    </w:p>
    <w:p w14:paraId="4752E482">
      <w:pPr>
        <w:pStyle w:val="16"/>
      </w:pPr>
      <w:r>
        <w:rPr>
          <w:rFonts w:ascii="Times New Roman" w:hAnsi="Times New Roman"/>
          <w:b/>
          <w:i w:val="0"/>
          <w:sz w:val="24"/>
        </w:rPr>
        <w:t>Age and health status:</w:t>
      </w:r>
      <w:r>
        <w:rPr>
          <w:rFonts w:ascii="Times New Roman" w:hAnsi="Times New Roman"/>
          <w:b w:val="0"/>
          <w:i w:val="0"/>
          <w:sz w:val="24"/>
        </w:rPr>
        <w:t xml:space="preserve"> Compromised macrophage function in elderly individuals or immunosuppressed patients may reduce clearance capacity, leading to greater tissue accumulation [83].</w:t>
      </w:r>
    </w:p>
    <w:p w14:paraId="146599EE">
      <w:pPr>
        <w:pStyle w:val="4"/>
      </w:pPr>
      <w:r>
        <w:rPr>
          <w:rFonts w:ascii="Times New Roman" w:hAnsi="Times New Roman"/>
          <w:color w:val="000000"/>
        </w:rPr>
        <w:t>8.8 Kinetic Modeling</w:t>
      </w:r>
    </w:p>
    <w:p w14:paraId="48B836BA"/>
    <w:p w14:paraId="5CA343C9">
      <w:pPr>
        <w:jc w:val="center"/>
      </w:pPr>
      <w:r>
        <w:drawing>
          <wp:inline distT="0" distB="0" distL="114300" distR="114300">
            <wp:extent cx="5303520" cy="3980180"/>
            <wp:effectExtent l="0" t="0" r="0" b="127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303520" cy="3980431"/>
                    </a:xfrm>
                    <a:prstGeom prst="rect">
                      <a:avLst/>
                    </a:prstGeom>
                  </pic:spPr>
                </pic:pic>
              </a:graphicData>
            </a:graphic>
          </wp:inline>
        </w:drawing>
      </w:r>
    </w:p>
    <w:p w14:paraId="6F53B273">
      <w:pPr>
        <w:jc w:val="center"/>
      </w:pPr>
      <w:r>
        <w:rPr>
          <w:rFonts w:ascii="Times New Roman" w:hAnsi="Times New Roman"/>
          <w:b w:val="0"/>
          <w:i/>
          <w:sz w:val="20"/>
        </w:rPr>
        <w:t>Figure 8.4  Physiologically Based Pharmacokinetic (PBPK) Model for iMNP Biodistribution. Compartmental structure showing organ compartments connected by blood flows. Exposure routes (oral, inhalation, dermal) and excretion pathways (feces &gt;90%, bile, urine) are indicated. Percentages represent typical organ accumulation from animal studies. Key model parameters are listed (Qi, Ci, Pi, kclear, Vmax/Km).</w:t>
      </w:r>
    </w:p>
    <w:p w14:paraId="7F8C0FCB"/>
    <w:p w14:paraId="2DB01024">
      <w:pPr>
        <w:pStyle w:val="5"/>
      </w:pPr>
      <w:r>
        <w:rPr>
          <w:rFonts w:ascii="Times New Roman" w:hAnsi="Times New Roman"/>
          <w:color w:val="000000"/>
        </w:rPr>
        <w:t>8.8.1 Physiologically-Based Pharmacokinetic (PBPK) Models</w:t>
      </w:r>
    </w:p>
    <w:p w14:paraId="29261703">
      <w:r>
        <w:rPr>
          <w:rFonts w:ascii="Times New Roman" w:hAnsi="Times New Roman"/>
          <w:b w:val="0"/>
          <w:i w:val="0"/>
          <w:sz w:val="24"/>
        </w:rPr>
        <w:t>PBPK modeling provides a mathematical framework for predicting the absorption, distribution, metabolism, and excretion (ADME) of substances based on physiological parameters (organ volumes, blood flows, partition coefficients) and substance-specific properties [84]. Originally developed for pharmaceutical compounds, PBPK models are increasingly adapted for iMNP kinetics.</w:t>
      </w:r>
    </w:p>
    <w:p w14:paraId="12B4432A">
      <w:r>
        <w:rPr>
          <w:rFonts w:ascii="Times New Roman" w:hAnsi="Times New Roman"/>
          <w:b w:val="0"/>
          <w:i w:val="0"/>
          <w:sz w:val="24"/>
        </w:rPr>
        <w:t>A typical PBPK model for iMNPs comprises interconnected compartments representing key organs (liver, lungs, spleen, kidneys, gut, brain, etc.), connected by blood flow. Each compartment is described by a mass balance ordinary differential equation (ODE):</w:t>
      </w:r>
    </w:p>
    <w:p w14:paraId="5854161A">
      <w:pPr>
        <w:jc w:val="center"/>
      </w:pPr>
      <w:r>
        <w:rPr>
          <w:rFonts w:ascii="Times New Roman" w:hAnsi="Times New Roman"/>
          <w:b w:val="0"/>
          <w:i/>
          <w:sz w:val="22"/>
        </w:rPr>
        <w:t>[Equation] \frac{dA_i}{dt} = Q_i \cdot (C_{art} - \frac{C_i}{P_i}) - k_{clearance,i} \cdot A_i</w:t>
      </w:r>
    </w:p>
    <w:p w14:paraId="032AF353">
      <w:r>
        <w:rPr>
          <w:rFonts w:ascii="Times New Roman" w:hAnsi="Times New Roman"/>
          <w:b w:val="0"/>
          <w:i w:val="0"/>
          <w:sz w:val="24"/>
        </w:rPr>
        <w:t>where $A_i$ is the amount in tissue $i$, $Q_i$ is blood flow, $C_{art}$ is arterial concentration, $C_i$ is tissue concentration, $P_i$ is the tissue-blood partition coefficient, and $k_{clearance,i}$ is the local clearance rate constant [85].</w:t>
      </w:r>
    </w:p>
    <w:p w14:paraId="33E0E9F5">
      <w:pPr>
        <w:pStyle w:val="5"/>
      </w:pPr>
      <w:r>
        <w:rPr>
          <w:rFonts w:ascii="Times New Roman" w:hAnsi="Times New Roman"/>
          <w:color w:val="000000"/>
        </w:rPr>
        <w:t>8.8.2 Adapting PBPK for Particles</w:t>
      </w:r>
    </w:p>
    <w:p w14:paraId="3BE4A7B2">
      <w:r>
        <w:rPr>
          <w:rFonts w:ascii="Times New Roman" w:hAnsi="Times New Roman"/>
          <w:b w:val="0"/>
          <w:i w:val="0"/>
          <w:sz w:val="24"/>
        </w:rPr>
        <w:t>Applying PBPK models to particulate materials (as opposed to dissolved molecules) introduces several unique challenges [86]:</w:t>
      </w:r>
    </w:p>
    <w:p w14:paraId="3822D0D8">
      <w:pPr>
        <w:pStyle w:val="14"/>
      </w:pPr>
      <w:r>
        <w:rPr>
          <w:rFonts w:ascii="Times New Roman" w:hAnsi="Times New Roman"/>
          <w:b/>
          <w:i w:val="0"/>
          <w:sz w:val="24"/>
        </w:rPr>
        <w:t>Size-dependent kinetics:</w:t>
      </w:r>
      <w:r>
        <w:rPr>
          <w:rFonts w:ascii="Times New Roman" w:hAnsi="Times New Roman"/>
          <w:b w:val="0"/>
          <w:i w:val="0"/>
          <w:sz w:val="24"/>
        </w:rPr>
        <w:t xml:space="preserve"> Unlike dissolved molecules that follow partition equilibrium, particle behavior is governed by filtration, phagocytosis, and physical trapping, all of which are strongly size-dependent [87].</w:t>
      </w:r>
    </w:p>
    <w:p w14:paraId="629B019B">
      <w:pPr>
        <w:pStyle w:val="14"/>
      </w:pPr>
      <w:r>
        <w:rPr>
          <w:rFonts w:ascii="Times New Roman" w:hAnsi="Times New Roman"/>
          <w:b/>
          <w:i w:val="0"/>
          <w:sz w:val="24"/>
        </w:rPr>
        <w:t>Reticuloendothelial system (RES) uptake:</w:t>
      </w:r>
      <w:r>
        <w:rPr>
          <w:rFonts w:ascii="Times New Roman" w:hAnsi="Times New Roman"/>
          <w:b w:val="0"/>
          <w:i w:val="0"/>
          <w:sz w:val="24"/>
        </w:rPr>
        <w:t xml:space="preserve"> Hepatic and splenic capture of particles by resident macrophages (Kupffer cells, splenic macrophages) must be modeled explicitly, often using saturable (Michaelis-Menten) uptake kinetics rather than simple partition coefficients [88].</w:t>
      </w:r>
    </w:p>
    <w:p w14:paraId="7015D458">
      <w:pPr>
        <w:pStyle w:val="14"/>
      </w:pPr>
      <w:r>
        <w:rPr>
          <w:rFonts w:ascii="Times New Roman" w:hAnsi="Times New Roman"/>
          <w:b/>
          <w:i w:val="0"/>
          <w:sz w:val="24"/>
        </w:rPr>
        <w:t>Surface-dependent interactions:</w:t>
      </w:r>
      <w:r>
        <w:rPr>
          <w:rFonts w:ascii="Times New Roman" w:hAnsi="Times New Roman"/>
          <w:b w:val="0"/>
          <w:i w:val="0"/>
          <w:sz w:val="24"/>
        </w:rPr>
        <w:t xml:space="preserve"> The biomolecular corona that forms on iMNP surfaces alters their apparent physicochemical properties (effective size, charge, receptor interactions), requiring dynamic surface chemistry parameters [68].</w:t>
      </w:r>
    </w:p>
    <w:p w14:paraId="0945CCA9">
      <w:pPr>
        <w:pStyle w:val="14"/>
      </w:pPr>
      <w:r>
        <w:rPr>
          <w:rFonts w:ascii="Times New Roman" w:hAnsi="Times New Roman"/>
          <w:b/>
          <w:i w:val="0"/>
          <w:sz w:val="24"/>
        </w:rPr>
        <w:t>Barrier-crossing kinetics:</w:t>
      </w:r>
      <w:r>
        <w:rPr>
          <w:rFonts w:ascii="Times New Roman" w:hAnsi="Times New Roman"/>
          <w:b w:val="0"/>
          <w:i w:val="0"/>
          <w:sz w:val="24"/>
        </w:rPr>
        <w:t xml:space="preserve"> Particle translocation across biological barriers (intestinal, alveolar, placental, BBB) follows different kinetics than molecular diffusion, often requiring permeability rate constants calibrated from ex vivo or in vitro barrier models [89].</w:t>
      </w:r>
    </w:p>
    <w:p w14:paraId="4077AD31">
      <w:pPr>
        <w:pStyle w:val="14"/>
      </w:pPr>
      <w:r>
        <w:rPr>
          <w:rFonts w:ascii="Times New Roman" w:hAnsi="Times New Roman"/>
          <w:b/>
          <w:i w:val="0"/>
          <w:sz w:val="24"/>
        </w:rPr>
        <w:t>Slow clearance/no metabolism:</w:t>
      </w:r>
      <w:r>
        <w:rPr>
          <w:rFonts w:ascii="Times New Roman" w:hAnsi="Times New Roman"/>
          <w:b w:val="0"/>
          <w:i w:val="0"/>
          <w:sz w:val="24"/>
        </w:rPr>
        <w:t xml:space="preserve"> Unlike pharmaceuticals that are enzymatically metabolized, most iMNPs are not biodegradable on biologically relevant timescales, leading to accumulation over time [77].</w:t>
      </w:r>
    </w:p>
    <w:p w14:paraId="307DC5F1">
      <w:r>
        <w:rPr>
          <w:rFonts w:ascii="Times New Roman" w:hAnsi="Times New Roman"/>
          <w:b/>
          <w:i w:val="0"/>
          <w:sz w:val="24"/>
        </w:rPr>
        <w:t>Published PBPK models for nanoparticles.</w:t>
      </w:r>
      <w:r>
        <w:rPr>
          <w:rFonts w:ascii="Times New Roman" w:hAnsi="Times New Roman"/>
          <w:b w:val="0"/>
          <w:i w:val="0"/>
          <w:sz w:val="24"/>
        </w:rPr>
        <w:t xml:space="preserve"> Several PBPK models have been developed for engineered nanoparticles (gold, silver, titanium dioxide) that provide templates for iMNP modeling [114,115]. Bachler et al. (2013) developed a comprehensive PBPK model for TiO₂ nanoparticles incorporating macrophage uptake kinetics that was subsequently adapted for nanoplastics [90]. Mohamed Nor et al. (2021) developed a lifetime accumulation model for MPs in humans, estimating that adults may accumulate ~40 g of microplastic over a lifetime under current exposure scenarios [78].</w:t>
      </w:r>
    </w:p>
    <w:p w14:paraId="263FF338">
      <w:pPr>
        <w:pStyle w:val="4"/>
      </w:pPr>
      <w:r>
        <w:rPr>
          <w:rFonts w:ascii="Times New Roman" w:hAnsi="Times New Roman"/>
          <w:color w:val="000000"/>
        </w:rPr>
        <w:t>8.9 Human Evidence: A Systematic Review and Meta-Analysis</w:t>
      </w:r>
    </w:p>
    <w:p w14:paraId="043F655C"/>
    <w:p w14:paraId="25448E63">
      <w:pPr>
        <w:jc w:val="center"/>
      </w:pPr>
      <w:r>
        <w:drawing>
          <wp:inline distT="0" distB="0" distL="114300" distR="114300">
            <wp:extent cx="5303520" cy="3508375"/>
            <wp:effectExtent l="0" t="0" r="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303520" cy="3508690"/>
                    </a:xfrm>
                    <a:prstGeom prst="rect">
                      <a:avLst/>
                    </a:prstGeom>
                  </pic:spPr>
                </pic:pic>
              </a:graphicData>
            </a:graphic>
          </wp:inline>
        </w:drawing>
      </w:r>
    </w:p>
    <w:p w14:paraId="6A5A8918">
      <w:pPr>
        <w:jc w:val="center"/>
      </w:pPr>
      <w:r>
        <w:rPr>
          <w:rFonts w:ascii="Times New Roman" w:hAnsi="Times New Roman"/>
          <w:b w:val="0"/>
          <w:i/>
          <w:sz w:val="20"/>
        </w:rPr>
        <w:t>Figure 8.5  Human Evidence: Detection Prevalence and Study Quality Assessment. (A) Study-level prevalence estimates with 95% CIs (square size proportional to sample size). Red diamond represents the overall pooled estimate of 68.5% (95% CI: 56.3-78.6%). (B) Quality assessment summary showing number of studies (of 11) meeting each Modified NOS criterion. Red bars highlight criteria met by 2 or fewer studies.</w:t>
      </w:r>
    </w:p>
    <w:p w14:paraId="6C00755F"/>
    <w:p w14:paraId="5D7FD402">
      <w:r>
        <w:rPr>
          <w:rFonts w:ascii="Times New Roman" w:hAnsi="Times New Roman"/>
          <w:b w:val="0"/>
          <w:i w:val="0"/>
          <w:sz w:val="24"/>
        </w:rPr>
        <w:t>This section presents original meta-analysis results based on a comprehensive systematic review of the literature on iMNP detection in human tissues. The analysis follows PRISMA 2020 guidelines and employs random-effects meta-analysis to provide pooled prevalence estimates [91].</w:t>
      </w:r>
    </w:p>
    <w:p w14:paraId="450BBF5B">
      <w:pPr>
        <w:pStyle w:val="5"/>
      </w:pPr>
      <w:r>
        <w:rPr>
          <w:rFonts w:ascii="Times New Roman" w:hAnsi="Times New Roman"/>
          <w:color w:val="000000"/>
        </w:rPr>
        <w:t>8.9.1 Systematic Review Methods</w:t>
      </w:r>
    </w:p>
    <w:p w14:paraId="0EC90B51">
      <w:r>
        <w:rPr>
          <w:rFonts w:ascii="Times New Roman" w:hAnsi="Times New Roman"/>
          <w:b/>
          <w:i w:val="0"/>
          <w:sz w:val="24"/>
        </w:rPr>
        <w:t>Search strategy.</w:t>
      </w:r>
      <w:r>
        <w:rPr>
          <w:rFonts w:ascii="Times New Roman" w:hAnsi="Times New Roman"/>
          <w:b w:val="0"/>
          <w:i w:val="0"/>
          <w:sz w:val="24"/>
        </w:rPr>
        <w:t xml:space="preserve"> A systematic search was conducted across PubMed/MEDLINE (n = 3,000 records), Europe PMC (n = 2,000), and OpenAlex (n = 274) databases through January 2026, yielding 5,274 total records. After deduplication (n = 792 duplicates removed), 4,482 unique records were screened. Following title/abstract screening, 1,946 studies were included in qualitative synthesis (bibliometric analysis), and 11 studies with extractable quantitative prevalence data (total N = 474 participants) were included in the random-effects meta-analysis [91].</w:t>
      </w:r>
    </w:p>
    <w:p w14:paraId="75D9F6ED">
      <w:r>
        <w:rPr>
          <w:rFonts w:ascii="Times New Roman" w:hAnsi="Times New Roman"/>
          <w:b/>
          <w:i w:val="0"/>
          <w:sz w:val="24"/>
        </w:rPr>
        <w:t>Statistical methods.</w:t>
      </w:r>
      <w:r>
        <w:rPr>
          <w:rFonts w:ascii="Times New Roman" w:hAnsi="Times New Roman"/>
          <w:b w:val="0"/>
          <w:i w:val="0"/>
          <w:sz w:val="24"/>
        </w:rPr>
        <w:t xml:space="preserve"> Proportions were transformed using the Freeman-Tukey double arcsine transformation. Random-effects pooling was performed using the DerSimonian-Laird method. Heterogeneity was assessed using the I² statistic and Cochran's Q test. Publication bias was evaluated via funnel plot inspection and Egger's regression test. Leave-one-out sensitivity analysis assessed the robustness of pooled estimates [118,119].</w:t>
      </w:r>
    </w:p>
    <w:p w14:paraId="23FD6006">
      <w:pPr>
        <w:pStyle w:val="5"/>
      </w:pPr>
      <w:r>
        <w:rPr>
          <w:rFonts w:ascii="Times New Roman" w:hAnsi="Times New Roman"/>
          <w:color w:val="000000"/>
        </w:rPr>
        <w:t>8.9.2 Blood</w:t>
      </w:r>
    </w:p>
    <w:p w14:paraId="6D15023C">
      <w:r>
        <w:rPr>
          <w:rFonts w:ascii="Times New Roman" w:hAnsi="Times New Roman"/>
          <w:b w:val="0"/>
          <w:i w:val="0"/>
          <w:sz w:val="24"/>
        </w:rPr>
        <w:t>Blood serves as the central distribution medium for systemically absorbed iMNPs. Leonard et al. (2024) analyzed whole blood samples from 20 healthy volunteers using μ-FTIR and detected microplastics in 18 out of 20 donors (90.0%) [92]. Twenty-four polymer types were identified, with PE (32%), ethylene propylene diene (14%), and ethylene-vinyl-acetate (12%) being the most abundant. Concentrations ranged from 1.84 to 4.65 μg/mL, and the mean particle length was 128 μm (range: 7–3,000 μm). This study builds upon the landmark discovery by Leslie et al. (2022), who first demonstrated quantifiable plastic particle concentrations in human blood [93].</w:t>
      </w:r>
    </w:p>
    <w:p w14:paraId="2F77FF2A">
      <w:r>
        <w:rPr>
          <w:rFonts w:ascii="Times New Roman" w:hAnsi="Times New Roman"/>
          <w:b w:val="0"/>
          <w:i w:val="0"/>
          <w:sz w:val="24"/>
        </w:rPr>
        <w:t xml:space="preserve">The pooled prevalence for blood/serum/plasma was </w:t>
      </w:r>
      <w:r>
        <w:rPr>
          <w:rFonts w:ascii="Times New Roman" w:hAnsi="Times New Roman"/>
          <w:b/>
          <w:i w:val="0"/>
          <w:sz w:val="24"/>
        </w:rPr>
        <w:t>90.0% (95% CI: 69.9–97.2%)</w:t>
      </w:r>
      <w:r>
        <w:rPr>
          <w:rFonts w:ascii="Times New Roman" w:hAnsi="Times New Roman"/>
          <w:b w:val="0"/>
          <w:i w:val="0"/>
          <w:sz w:val="24"/>
        </w:rPr>
        <w:t>, though based on a single meta-analyzed study (k = 1).</w:t>
      </w:r>
    </w:p>
    <w:p w14:paraId="1A25E7A3">
      <w:pPr>
        <w:pStyle w:val="5"/>
      </w:pPr>
      <w:r>
        <w:rPr>
          <w:rFonts w:ascii="Times New Roman" w:hAnsi="Times New Roman"/>
          <w:color w:val="000000"/>
        </w:rPr>
        <w:t>8.9.3 Lungs</w:t>
      </w:r>
    </w:p>
    <w:p w14:paraId="36DDD1C1">
      <w:r>
        <w:rPr>
          <w:rFonts w:ascii="Times New Roman" w:hAnsi="Times New Roman"/>
          <w:b w:val="0"/>
          <w:i w:val="0"/>
          <w:sz w:val="24"/>
        </w:rPr>
        <w:t>The lungs are directly exposed to airborne iMNPs through inhalation. Three studies in our meta-analysis examined lung tissue or bronchoalveolar lavage (BAL) fluid:</w:t>
      </w:r>
    </w:p>
    <w:p w14:paraId="0A65878C">
      <w:pPr>
        <w:pStyle w:val="16"/>
      </w:pPr>
      <w:r>
        <w:rPr>
          <w:rFonts w:ascii="Times New Roman" w:hAnsi="Times New Roman"/>
          <w:b w:val="0"/>
          <w:i w:val="0"/>
          <w:sz w:val="24"/>
        </w:rPr>
        <w:t>Padarya et al. (2025) detected MPs in 42 of 60 BAL samples (70.0%) using FTIR, with PE and PP being the most common polymers and a mean count of 6.4 ± 3.1 particles per 100 mL BAL fluid [94].</w:t>
      </w:r>
    </w:p>
    <w:p w14:paraId="505CBEF5">
      <w:pPr>
        <w:pStyle w:val="16"/>
      </w:pPr>
      <w:r>
        <w:rPr>
          <w:rFonts w:ascii="Times New Roman" w:hAnsi="Times New Roman"/>
          <w:b w:val="0"/>
          <w:i w:val="0"/>
          <w:sz w:val="24"/>
        </w:rPr>
        <w:t>Özgen Alpaydin et al. (2024) found MPs in 10 of 18 BAL samples (55.6%) from patients with suspected interstitial lung disease, using μ-Raman spectroscopy [95].</w:t>
      </w:r>
    </w:p>
    <w:p w14:paraId="557A4AC4">
      <w:pPr>
        <w:pStyle w:val="16"/>
      </w:pPr>
      <w:r>
        <w:rPr>
          <w:rFonts w:ascii="Times New Roman" w:hAnsi="Times New Roman"/>
          <w:b w:val="0"/>
          <w:i w:val="0"/>
          <w:sz w:val="24"/>
        </w:rPr>
        <w:t>Zakynthinos et al. (2025) detected MPs in 5 of 8 BAL samples (62.5%) via SEM-EDX, with particles ranging from 5.9 to 204.7 μm [96].</w:t>
      </w:r>
    </w:p>
    <w:p w14:paraId="1C7988E7">
      <w:r>
        <w:rPr>
          <w:rFonts w:ascii="Times New Roman" w:hAnsi="Times New Roman"/>
          <w:b w:val="0"/>
          <w:i w:val="0"/>
          <w:sz w:val="24"/>
        </w:rPr>
        <w:t xml:space="preserve">The pooled prevalence for lung tissue was </w:t>
      </w:r>
      <w:r>
        <w:rPr>
          <w:rFonts w:ascii="Times New Roman" w:hAnsi="Times New Roman"/>
          <w:b/>
          <w:i w:val="0"/>
          <w:sz w:val="24"/>
        </w:rPr>
        <w:t>66.1% (95% CI: 55.4–75.4%; I² = 0%)</w:t>
      </w:r>
      <w:r>
        <w:rPr>
          <w:rFonts w:ascii="Times New Roman" w:hAnsi="Times New Roman"/>
          <w:b w:val="0"/>
          <w:i w:val="0"/>
          <w:sz w:val="24"/>
        </w:rPr>
        <w:t>, with notably low within-tissue heterogeneity despite different analytical methods, suggesting consistent underlying detection rates.</w:t>
      </w:r>
    </w:p>
    <w:p w14:paraId="28BC163D">
      <w:pPr>
        <w:pStyle w:val="5"/>
      </w:pPr>
      <w:r>
        <w:rPr>
          <w:rFonts w:ascii="Times New Roman" w:hAnsi="Times New Roman"/>
          <w:color w:val="000000"/>
        </w:rPr>
        <w:t>8.9.4 Liver</w:t>
      </w:r>
    </w:p>
    <w:p w14:paraId="3AB99EEE">
      <w:r>
        <w:rPr>
          <w:rFonts w:ascii="Times New Roman" w:hAnsi="Times New Roman"/>
          <w:b w:val="0"/>
          <w:i w:val="0"/>
          <w:sz w:val="24"/>
        </w:rPr>
        <w:t>Although the liver is a primary site of iMNP accumulation in animal models, no studies in our meta-analysis specifically quantified hepatic iMNP prevalence with binary detection data. Horvatits et al. (2022) detected MPs in cirrhotic liver tissue using μ-FTIR, reporting concentrations up to 84 MPs/g tissue, but did not report a binary detection rate suitable for meta-analytic pooling [97]. The bibliometric analysis identified 100 publications (5.1% of 1,946) investigating liver tissue, confirming growing research interest. This gap highlights the need for liver-focused prevalence studies with standardized reporting.</w:t>
      </w:r>
    </w:p>
    <w:p w14:paraId="3F302DC7">
      <w:pPr>
        <w:pStyle w:val="5"/>
      </w:pPr>
      <w:r>
        <w:rPr>
          <w:rFonts w:ascii="Times New Roman" w:hAnsi="Times New Roman"/>
          <w:color w:val="000000"/>
        </w:rPr>
        <w:t>8.9.5 Placenta</w:t>
      </w:r>
    </w:p>
    <w:p w14:paraId="31D607C5">
      <w:r>
        <w:rPr>
          <w:rFonts w:ascii="Times New Roman" w:hAnsi="Times New Roman"/>
          <w:b w:val="0"/>
          <w:i w:val="0"/>
          <w:sz w:val="24"/>
        </w:rPr>
        <w:t>Placental tissue showed one of the highest detection prevalence rates. Halfar et al. (2023) detected MPs or plastic additives in 9 out of 10 placentas (90.0%) from patients with preterm premature rupture of membranes, as well as in amniotic fluid, using ATR-FTIR [63]. Chlorinated polyethylene and calcium zinc PVC stabilizer were the dominant materials, with particle sizes between 10 and 50 μm.</w:t>
      </w:r>
    </w:p>
    <w:p w14:paraId="18825E2E">
      <w:r>
        <w:rPr>
          <w:rFonts w:ascii="Times New Roman" w:hAnsi="Times New Roman"/>
          <w:b w:val="0"/>
          <w:i w:val="0"/>
          <w:sz w:val="24"/>
        </w:rPr>
        <w:t xml:space="preserve">The pooled prevalence for placenta was </w:t>
      </w:r>
      <w:r>
        <w:rPr>
          <w:rFonts w:ascii="Times New Roman" w:hAnsi="Times New Roman"/>
          <w:b/>
          <w:i w:val="0"/>
          <w:sz w:val="24"/>
        </w:rPr>
        <w:t>90.0% (95% CI: 59.6–98.2%)</w:t>
      </w:r>
      <w:r>
        <w:rPr>
          <w:rFonts w:ascii="Times New Roman" w:hAnsi="Times New Roman"/>
          <w:b w:val="0"/>
          <w:i w:val="0"/>
          <w:sz w:val="24"/>
        </w:rPr>
        <w:t>, though based on a single study (k = 1).</w:t>
      </w:r>
    </w:p>
    <w:p w14:paraId="39BB2DE9">
      <w:pPr>
        <w:pStyle w:val="5"/>
      </w:pPr>
      <w:r>
        <w:rPr>
          <w:rFonts w:ascii="Times New Roman" w:hAnsi="Times New Roman"/>
          <w:color w:val="000000"/>
        </w:rPr>
        <w:t>8.9.6 Stool (Fecal Samples)</w:t>
      </w:r>
    </w:p>
    <w:p w14:paraId="20C66566">
      <w:r>
        <w:rPr>
          <w:rFonts w:ascii="Times New Roman" w:hAnsi="Times New Roman"/>
          <w:b w:val="0"/>
          <w:i w:val="0"/>
          <w:sz w:val="24"/>
        </w:rPr>
        <w:t>Two studies examined iMNP prevalence in stool samples:</w:t>
      </w:r>
    </w:p>
    <w:p w14:paraId="39B1DE66">
      <w:pPr>
        <w:pStyle w:val="16"/>
      </w:pPr>
      <w:r>
        <w:rPr>
          <w:rFonts w:ascii="Times New Roman" w:hAnsi="Times New Roman"/>
          <w:b w:val="0"/>
          <w:i w:val="0"/>
          <w:sz w:val="24"/>
        </w:rPr>
        <w:t>Ke et al. (2023) detected MPs in 59 of 69 stool samples (85.5%) from preschool children in Xiamen, China, using Py-GC/MS [98]. PVC, PET, PE, and polyamide-6 were detected, with median concentrations of 317.4 μg/g for PVC.</w:t>
      </w:r>
    </w:p>
    <w:p w14:paraId="07E4E00A">
      <w:pPr>
        <w:pStyle w:val="16"/>
      </w:pPr>
      <w:r>
        <w:rPr>
          <w:rFonts w:ascii="Times New Roman" w:hAnsi="Times New Roman"/>
          <w:b w:val="0"/>
          <w:i w:val="0"/>
          <w:sz w:val="24"/>
        </w:rPr>
        <w:t>Santini et al. (2024) detected MPs in 5 of 6 stool samples (83.3%) using FTIR, identifying synthetic cellulose, PE, PP, PS, and PET [99].</w:t>
      </w:r>
    </w:p>
    <w:p w14:paraId="40EF048E">
      <w:r>
        <w:rPr>
          <w:rFonts w:ascii="Times New Roman" w:hAnsi="Times New Roman"/>
          <w:b w:val="0"/>
          <w:i w:val="0"/>
          <w:sz w:val="24"/>
        </w:rPr>
        <w:t xml:space="preserve">The pooled prevalence for stool/gut was </w:t>
      </w:r>
      <w:r>
        <w:rPr>
          <w:rFonts w:ascii="Times New Roman" w:hAnsi="Times New Roman"/>
          <w:b/>
          <w:i w:val="0"/>
          <w:sz w:val="24"/>
        </w:rPr>
        <w:t>85.3% (95% CI: 75.4–91.7%; I² = 0%)</w:t>
      </w:r>
      <w:r>
        <w:rPr>
          <w:rFonts w:ascii="Times New Roman" w:hAnsi="Times New Roman"/>
          <w:b w:val="0"/>
          <w:i w:val="0"/>
          <w:sz w:val="24"/>
        </w:rPr>
        <w:t>, with excellent consistency between the two studies.</w:t>
      </w:r>
    </w:p>
    <w:p w14:paraId="2D36B38E">
      <w:pPr>
        <w:pStyle w:val="5"/>
      </w:pPr>
      <w:r>
        <w:rPr>
          <w:rFonts w:ascii="Times New Roman" w:hAnsi="Times New Roman"/>
          <w:color w:val="000000"/>
        </w:rPr>
        <w:t>8.9.7 Other Tissues</w:t>
      </w:r>
    </w:p>
    <w:p w14:paraId="10CE34A5">
      <w:r>
        <w:rPr>
          <w:rFonts w:ascii="Times New Roman" w:hAnsi="Times New Roman"/>
          <w:b w:val="0"/>
          <w:i w:val="0"/>
          <w:sz w:val="24"/>
        </w:rPr>
        <w:t>Additional tissues examined in the meta-analysis included:</w:t>
      </w:r>
    </w:p>
    <w:p w14:paraId="1930B53E">
      <w:pPr>
        <w:pStyle w:val="16"/>
      </w:pPr>
      <w:r>
        <w:rPr>
          <w:rFonts w:ascii="Times New Roman" w:hAnsi="Times New Roman"/>
          <w:b/>
          <w:i w:val="0"/>
          <w:sz w:val="24"/>
        </w:rPr>
        <w:t>Cerumen (ear wax):</w:t>
      </w:r>
      <w:r>
        <w:rPr>
          <w:rFonts w:ascii="Times New Roman" w:hAnsi="Times New Roman"/>
          <w:b w:val="0"/>
          <w:i w:val="0"/>
          <w:sz w:val="24"/>
        </w:rPr>
        <w:t xml:space="preserve"> Arslan et al. (2025) detected MPs in 10 of 12 adult patients (83.3%), with particles ranging from 16 to 930 μm. This novel finding suggests cerumen as a non-invasive biomarker for MP exposure [80].</w:t>
      </w:r>
    </w:p>
    <w:p w14:paraId="6AFE0559">
      <w:pPr>
        <w:pStyle w:val="16"/>
      </w:pPr>
      <w:r>
        <w:rPr>
          <w:rFonts w:ascii="Times New Roman" w:hAnsi="Times New Roman"/>
          <w:b/>
          <w:i w:val="0"/>
          <w:sz w:val="24"/>
        </w:rPr>
        <w:t>Semen/reproductive tissue:</w:t>
      </w:r>
      <w:r>
        <w:rPr>
          <w:rFonts w:ascii="Times New Roman" w:hAnsi="Times New Roman"/>
          <w:b w:val="0"/>
          <w:i w:val="0"/>
          <w:sz w:val="24"/>
        </w:rPr>
        <w:t xml:space="preserve"> Two studies (Demirelli et al., 2024; Qu et al., 2025) examined reproductive tissues, with detection rates of 50.0% and 55.5%, yielding a pooled prevalence of </w:t>
      </w:r>
      <w:r>
        <w:rPr>
          <w:rFonts w:ascii="Times New Roman" w:hAnsi="Times New Roman"/>
          <w:b/>
          <w:i w:val="0"/>
          <w:sz w:val="24"/>
        </w:rPr>
        <w:t>55.2% (95% CI: 48.4–61.8%; I² = 0%)</w:t>
      </w:r>
      <w:r>
        <w:rPr>
          <w:rFonts w:ascii="Times New Roman" w:hAnsi="Times New Roman"/>
          <w:b w:val="0"/>
          <w:i w:val="0"/>
          <w:sz w:val="24"/>
        </w:rPr>
        <w:t xml:space="preserve"> [100,101].</w:t>
      </w:r>
    </w:p>
    <w:p w14:paraId="3CC030D6">
      <w:pPr>
        <w:pStyle w:val="16"/>
      </w:pPr>
      <w:r>
        <w:rPr>
          <w:rFonts w:ascii="Times New Roman" w:hAnsi="Times New Roman"/>
          <w:b/>
          <w:i w:val="0"/>
          <w:sz w:val="24"/>
        </w:rPr>
        <w:t>Breast milk:</w:t>
      </w:r>
      <w:r>
        <w:rPr>
          <w:rFonts w:ascii="Times New Roman" w:hAnsi="Times New Roman"/>
          <w:b w:val="0"/>
          <w:i w:val="0"/>
          <w:sz w:val="24"/>
        </w:rPr>
        <w:t xml:space="preserve"> Saraluck et al. (2024) detected MPs in 23 of 59 breast milk samples (39.0%), with PP, PE, PS, and PVC being the most common polymers [81].</w:t>
      </w:r>
    </w:p>
    <w:p w14:paraId="5C791E62">
      <w:pPr>
        <w:pStyle w:val="5"/>
      </w:pPr>
      <w:r>
        <w:rPr>
          <w:rFonts w:ascii="Times New Roman" w:hAnsi="Times New Roman"/>
          <w:color w:val="000000"/>
        </w:rPr>
        <w:t>8.9.8 Pooled Meta-Analysis Results</w:t>
      </w:r>
    </w:p>
    <w:p w14:paraId="3C2E9172">
      <w:r>
        <w:rPr>
          <w:rFonts w:ascii="Times New Roman" w:hAnsi="Times New Roman"/>
          <w:b w:val="0"/>
          <w:i w:val="0"/>
          <w:sz w:val="24"/>
        </w:rPr>
        <w:t xml:space="preserve">The overall random-effects meta-analysis across 11 studies (N = 474) yielded a pooled iMNP detection prevalence of </w:t>
      </w:r>
      <w:r>
        <w:rPr>
          <w:rFonts w:ascii="Times New Roman" w:hAnsi="Times New Roman"/>
          <w:b/>
          <w:i w:val="0"/>
          <w:sz w:val="24"/>
        </w:rPr>
        <w:t>68.5% (95% CI: 56.3–78.6%)</w:t>
      </w:r>
      <w:r>
        <w:rPr>
          <w:rFonts w:ascii="Times New Roman" w:hAnsi="Times New Roman"/>
          <w:b w:val="0"/>
          <w:i w:val="0"/>
          <w:sz w:val="24"/>
        </w:rPr>
        <w:t xml:space="preserve"> with substantial heterogeneity (I² = 77%, Q = 43.3, p &lt; 0.001). The 95% prediction interval was 28.9–92.1%, reflecting wide expected variability in future studies.</w:t>
      </w:r>
    </w:p>
    <w:p w14:paraId="720CCC49">
      <w:r>
        <w:rPr>
          <w:rFonts w:ascii="Times New Roman" w:hAnsi="Times New Roman"/>
          <w:b w:val="0"/>
          <w:i w:val="0"/>
          <w:sz w:val="24"/>
        </w:rPr>
        <w:t>Subgroup analysis by tissue type revealed that between-tissue differences were the primary driver of heterogeneity: within-tissue I² was 0% for all subgroups with ≥2 studies (lung, stool, semen). Egger's regression test showed no significant publication bias (intercept = 1.72, p = 0.909). Leave-one-out sensitivity analysis confirmed robust pooled estimates (range: 64.0–72.0%) [91].</w:t>
      </w:r>
    </w:p>
    <w:p w14:paraId="44B96B20">
      <w:pPr>
        <w:ind w:left="567"/>
      </w:pPr>
      <w:r>
        <w:rPr>
          <w:rFonts w:ascii="Times New Roman" w:hAnsi="Times New Roman"/>
          <w:b w:val="0"/>
          <w:i/>
          <w:sz w:val="20"/>
        </w:rPr>
        <w:t>Table 8.3 presents the tissue-specific pooled prevalence estimates from the meta-analysis.</w:t>
      </w:r>
    </w:p>
    <w:p w14:paraId="02443D0D">
      <w:pPr>
        <w:jc w:val="center"/>
      </w:pPr>
      <w:r>
        <w:rPr>
          <w:rFonts w:ascii="Times New Roman" w:hAnsi="Times New Roman"/>
          <w:b/>
          <w:i w:val="0"/>
          <w:sz w:val="20"/>
        </w:rPr>
        <w:t>Table 8.3. Pooled Prevalence of iMNPs in Human Tissues: Random-Effects Meta-Analysis Results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1"/>
        <w:gridCol w:w="1337"/>
        <w:gridCol w:w="1337"/>
        <w:gridCol w:w="1337"/>
        <w:gridCol w:w="1337"/>
        <w:gridCol w:w="1337"/>
        <w:gridCol w:w="1337"/>
      </w:tblGrid>
      <w:tr w14:paraId="323FC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7" w:type="dxa"/>
            <w:shd w:val="clear" w:color="auto" w:fill="D9E2F3"/>
          </w:tcPr>
          <w:p w14:paraId="1B34B665">
            <w:pPr>
              <w:jc w:val="center"/>
            </w:pPr>
            <w:r>
              <w:rPr>
                <w:rFonts w:ascii="Times New Roman" w:hAnsi="Times New Roman"/>
                <w:b/>
                <w:i w:val="0"/>
                <w:sz w:val="16"/>
              </w:rPr>
              <w:t>Tissue Type</w:t>
            </w:r>
          </w:p>
        </w:tc>
        <w:tc>
          <w:tcPr>
            <w:tcW w:w="1337" w:type="dxa"/>
            <w:shd w:val="clear" w:color="auto" w:fill="D9E2F3"/>
          </w:tcPr>
          <w:p w14:paraId="41FD8D79">
            <w:pPr>
              <w:jc w:val="center"/>
            </w:pPr>
            <w:r>
              <w:rPr>
                <w:rFonts w:ascii="Times New Roman" w:hAnsi="Times New Roman"/>
                <w:b/>
                <w:i w:val="0"/>
                <w:sz w:val="16"/>
              </w:rPr>
              <w:t>No. of Studies (k)</w:t>
            </w:r>
          </w:p>
        </w:tc>
        <w:tc>
          <w:tcPr>
            <w:tcW w:w="1337" w:type="dxa"/>
            <w:shd w:val="clear" w:color="auto" w:fill="D9E2F3"/>
          </w:tcPr>
          <w:p w14:paraId="04897D1D">
            <w:pPr>
              <w:jc w:val="center"/>
            </w:pPr>
            <w:r>
              <w:rPr>
                <w:rFonts w:ascii="Times New Roman" w:hAnsi="Times New Roman"/>
                <w:b/>
                <w:i w:val="0"/>
                <w:sz w:val="16"/>
              </w:rPr>
              <w:t>Total N</w:t>
            </w:r>
          </w:p>
        </w:tc>
        <w:tc>
          <w:tcPr>
            <w:tcW w:w="1337" w:type="dxa"/>
            <w:shd w:val="clear" w:color="auto" w:fill="D9E2F3"/>
          </w:tcPr>
          <w:p w14:paraId="19163DB5">
            <w:pPr>
              <w:jc w:val="center"/>
            </w:pPr>
            <w:r>
              <w:rPr>
                <w:rFonts w:ascii="Times New Roman" w:hAnsi="Times New Roman"/>
                <w:b/>
                <w:i w:val="0"/>
                <w:sz w:val="16"/>
              </w:rPr>
              <w:t>Pooled Prevalence (%)</w:t>
            </w:r>
          </w:p>
        </w:tc>
        <w:tc>
          <w:tcPr>
            <w:tcW w:w="1337" w:type="dxa"/>
            <w:shd w:val="clear" w:color="auto" w:fill="D9E2F3"/>
          </w:tcPr>
          <w:p w14:paraId="22D37B3F">
            <w:pPr>
              <w:jc w:val="center"/>
            </w:pPr>
            <w:r>
              <w:rPr>
                <w:rFonts w:ascii="Times New Roman" w:hAnsi="Times New Roman"/>
                <w:b/>
                <w:i w:val="0"/>
                <w:sz w:val="16"/>
              </w:rPr>
              <w:t>95% CI (%)</w:t>
            </w:r>
          </w:p>
        </w:tc>
        <w:tc>
          <w:tcPr>
            <w:tcW w:w="1337" w:type="dxa"/>
            <w:shd w:val="clear" w:color="auto" w:fill="D9E2F3"/>
          </w:tcPr>
          <w:p w14:paraId="4E4A6845">
            <w:pPr>
              <w:jc w:val="center"/>
            </w:pPr>
            <w:r>
              <w:rPr>
                <w:rFonts w:ascii="Times New Roman" w:hAnsi="Times New Roman"/>
                <w:b/>
                <w:i w:val="0"/>
                <w:sz w:val="16"/>
              </w:rPr>
              <w:t>I² (%)</w:t>
            </w:r>
          </w:p>
        </w:tc>
        <w:tc>
          <w:tcPr>
            <w:tcW w:w="1337" w:type="dxa"/>
            <w:shd w:val="clear" w:color="auto" w:fill="D9E2F3"/>
          </w:tcPr>
          <w:p w14:paraId="0F4D5E81">
            <w:pPr>
              <w:jc w:val="center"/>
            </w:pPr>
            <w:r>
              <w:rPr>
                <w:rFonts w:ascii="Times New Roman" w:hAnsi="Times New Roman"/>
                <w:b/>
                <w:i w:val="0"/>
                <w:sz w:val="16"/>
              </w:rPr>
              <w:t>Q Statistic (p-value)</w:t>
            </w:r>
          </w:p>
        </w:tc>
      </w:tr>
      <w:tr w14:paraId="173D8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7" w:type="dxa"/>
          </w:tcPr>
          <w:p w14:paraId="400A78A9">
            <w:pPr>
              <w:jc w:val="center"/>
            </w:pPr>
            <w:r>
              <w:rPr>
                <w:rFonts w:ascii="Times New Roman" w:hAnsi="Times New Roman"/>
                <w:b w:val="0"/>
                <w:i w:val="0"/>
                <w:sz w:val="16"/>
              </w:rPr>
              <w:t>Blood/serum/plasma</w:t>
            </w:r>
          </w:p>
        </w:tc>
        <w:tc>
          <w:tcPr>
            <w:tcW w:w="1337" w:type="dxa"/>
          </w:tcPr>
          <w:p w14:paraId="3A536822">
            <w:pPr>
              <w:jc w:val="center"/>
            </w:pPr>
            <w:r>
              <w:rPr>
                <w:rFonts w:ascii="Times New Roman" w:hAnsi="Times New Roman"/>
                <w:b w:val="0"/>
                <w:i w:val="0"/>
                <w:sz w:val="16"/>
              </w:rPr>
              <w:t>1</w:t>
            </w:r>
          </w:p>
        </w:tc>
        <w:tc>
          <w:tcPr>
            <w:tcW w:w="1337" w:type="dxa"/>
          </w:tcPr>
          <w:p w14:paraId="7BD7E70F">
            <w:pPr>
              <w:jc w:val="center"/>
            </w:pPr>
            <w:r>
              <w:rPr>
                <w:rFonts w:ascii="Times New Roman" w:hAnsi="Times New Roman"/>
                <w:b w:val="0"/>
                <w:i w:val="0"/>
                <w:sz w:val="16"/>
              </w:rPr>
              <w:t>20</w:t>
            </w:r>
          </w:p>
        </w:tc>
        <w:tc>
          <w:tcPr>
            <w:tcW w:w="1337" w:type="dxa"/>
          </w:tcPr>
          <w:p w14:paraId="6CCDA892">
            <w:pPr>
              <w:jc w:val="center"/>
            </w:pPr>
            <w:r>
              <w:rPr>
                <w:rFonts w:ascii="Times New Roman" w:hAnsi="Times New Roman"/>
                <w:b w:val="0"/>
                <w:i w:val="0"/>
                <w:sz w:val="16"/>
              </w:rPr>
              <w:t>90.0</w:t>
            </w:r>
          </w:p>
        </w:tc>
        <w:tc>
          <w:tcPr>
            <w:tcW w:w="1337" w:type="dxa"/>
          </w:tcPr>
          <w:p w14:paraId="0CEA0A1D">
            <w:pPr>
              <w:jc w:val="center"/>
            </w:pPr>
            <w:r>
              <w:rPr>
                <w:rFonts w:ascii="Times New Roman" w:hAnsi="Times New Roman"/>
                <w:b w:val="0"/>
                <w:i w:val="0"/>
                <w:sz w:val="16"/>
              </w:rPr>
              <w:t>69.9–97.2</w:t>
            </w:r>
          </w:p>
        </w:tc>
        <w:tc>
          <w:tcPr>
            <w:tcW w:w="1337" w:type="dxa"/>
          </w:tcPr>
          <w:p w14:paraId="65D59D08">
            <w:pPr>
              <w:jc w:val="center"/>
            </w:pPr>
            <w:r>
              <w:rPr>
                <w:rFonts w:ascii="Times New Roman" w:hAnsi="Times New Roman"/>
                <w:b w:val="0"/>
                <w:i w:val="0"/>
                <w:sz w:val="16"/>
              </w:rPr>
              <w:t>0</w:t>
            </w:r>
          </w:p>
        </w:tc>
        <w:tc>
          <w:tcPr>
            <w:tcW w:w="1337" w:type="dxa"/>
          </w:tcPr>
          <w:p w14:paraId="4F8FA08B">
            <w:pPr>
              <w:jc w:val="center"/>
            </w:pPr>
            <w:r>
              <w:rPr>
                <w:rFonts w:ascii="Times New Roman" w:hAnsi="Times New Roman"/>
                <w:b w:val="0"/>
                <w:i w:val="0"/>
                <w:sz w:val="16"/>
              </w:rPr>
              <w:t>—</w:t>
            </w:r>
          </w:p>
        </w:tc>
      </w:tr>
      <w:tr w14:paraId="3F552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7" w:type="dxa"/>
          </w:tcPr>
          <w:p w14:paraId="729B967E">
            <w:pPr>
              <w:jc w:val="center"/>
            </w:pPr>
            <w:r>
              <w:rPr>
                <w:rFonts w:ascii="Times New Roman" w:hAnsi="Times New Roman"/>
                <w:b w:val="0"/>
                <w:i w:val="0"/>
                <w:sz w:val="16"/>
              </w:rPr>
              <w:t>Placenta</w:t>
            </w:r>
          </w:p>
        </w:tc>
        <w:tc>
          <w:tcPr>
            <w:tcW w:w="1337" w:type="dxa"/>
          </w:tcPr>
          <w:p w14:paraId="77F52C04">
            <w:pPr>
              <w:jc w:val="center"/>
            </w:pPr>
            <w:r>
              <w:rPr>
                <w:rFonts w:ascii="Times New Roman" w:hAnsi="Times New Roman"/>
                <w:b w:val="0"/>
                <w:i w:val="0"/>
                <w:sz w:val="16"/>
              </w:rPr>
              <w:t>1</w:t>
            </w:r>
          </w:p>
        </w:tc>
        <w:tc>
          <w:tcPr>
            <w:tcW w:w="1337" w:type="dxa"/>
          </w:tcPr>
          <w:p w14:paraId="08970E5E">
            <w:pPr>
              <w:jc w:val="center"/>
            </w:pPr>
            <w:r>
              <w:rPr>
                <w:rFonts w:ascii="Times New Roman" w:hAnsi="Times New Roman"/>
                <w:b w:val="0"/>
                <w:i w:val="0"/>
                <w:sz w:val="16"/>
              </w:rPr>
              <w:t>10</w:t>
            </w:r>
          </w:p>
        </w:tc>
        <w:tc>
          <w:tcPr>
            <w:tcW w:w="1337" w:type="dxa"/>
          </w:tcPr>
          <w:p w14:paraId="7A962470">
            <w:pPr>
              <w:jc w:val="center"/>
            </w:pPr>
            <w:r>
              <w:rPr>
                <w:rFonts w:ascii="Times New Roman" w:hAnsi="Times New Roman"/>
                <w:b w:val="0"/>
                <w:i w:val="0"/>
                <w:sz w:val="16"/>
              </w:rPr>
              <w:t>90.0</w:t>
            </w:r>
          </w:p>
        </w:tc>
        <w:tc>
          <w:tcPr>
            <w:tcW w:w="1337" w:type="dxa"/>
          </w:tcPr>
          <w:p w14:paraId="322B1D85">
            <w:pPr>
              <w:jc w:val="center"/>
            </w:pPr>
            <w:r>
              <w:rPr>
                <w:rFonts w:ascii="Times New Roman" w:hAnsi="Times New Roman"/>
                <w:b w:val="0"/>
                <w:i w:val="0"/>
                <w:sz w:val="16"/>
              </w:rPr>
              <w:t>59.6–98.2</w:t>
            </w:r>
          </w:p>
        </w:tc>
        <w:tc>
          <w:tcPr>
            <w:tcW w:w="1337" w:type="dxa"/>
          </w:tcPr>
          <w:p w14:paraId="0E8D8356">
            <w:pPr>
              <w:jc w:val="center"/>
            </w:pPr>
            <w:r>
              <w:rPr>
                <w:rFonts w:ascii="Times New Roman" w:hAnsi="Times New Roman"/>
                <w:b w:val="0"/>
                <w:i w:val="0"/>
                <w:sz w:val="16"/>
              </w:rPr>
              <w:t>0</w:t>
            </w:r>
          </w:p>
        </w:tc>
        <w:tc>
          <w:tcPr>
            <w:tcW w:w="1337" w:type="dxa"/>
          </w:tcPr>
          <w:p w14:paraId="7340BB1E">
            <w:pPr>
              <w:jc w:val="center"/>
            </w:pPr>
            <w:r>
              <w:rPr>
                <w:rFonts w:ascii="Times New Roman" w:hAnsi="Times New Roman"/>
                <w:b w:val="0"/>
                <w:i w:val="0"/>
                <w:sz w:val="16"/>
              </w:rPr>
              <w:t>—</w:t>
            </w:r>
          </w:p>
        </w:tc>
      </w:tr>
      <w:tr w14:paraId="2363E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7" w:type="dxa"/>
          </w:tcPr>
          <w:p w14:paraId="33CFB45D">
            <w:pPr>
              <w:jc w:val="center"/>
            </w:pPr>
            <w:r>
              <w:rPr>
                <w:rFonts w:ascii="Times New Roman" w:hAnsi="Times New Roman"/>
                <w:b w:val="0"/>
                <w:i w:val="0"/>
                <w:sz w:val="16"/>
              </w:rPr>
              <w:t>Stool/gut</w:t>
            </w:r>
          </w:p>
        </w:tc>
        <w:tc>
          <w:tcPr>
            <w:tcW w:w="1337" w:type="dxa"/>
          </w:tcPr>
          <w:p w14:paraId="3197C6ED">
            <w:pPr>
              <w:jc w:val="center"/>
            </w:pPr>
            <w:r>
              <w:rPr>
                <w:rFonts w:ascii="Times New Roman" w:hAnsi="Times New Roman"/>
                <w:b w:val="0"/>
                <w:i w:val="0"/>
                <w:sz w:val="16"/>
              </w:rPr>
              <w:t>2</w:t>
            </w:r>
          </w:p>
        </w:tc>
        <w:tc>
          <w:tcPr>
            <w:tcW w:w="1337" w:type="dxa"/>
          </w:tcPr>
          <w:p w14:paraId="3DB3D751">
            <w:pPr>
              <w:jc w:val="center"/>
            </w:pPr>
            <w:r>
              <w:rPr>
                <w:rFonts w:ascii="Times New Roman" w:hAnsi="Times New Roman"/>
                <w:b w:val="0"/>
                <w:i w:val="0"/>
                <w:sz w:val="16"/>
              </w:rPr>
              <w:t>75</w:t>
            </w:r>
          </w:p>
        </w:tc>
        <w:tc>
          <w:tcPr>
            <w:tcW w:w="1337" w:type="dxa"/>
          </w:tcPr>
          <w:p w14:paraId="7BBFFB6A">
            <w:pPr>
              <w:jc w:val="center"/>
            </w:pPr>
            <w:r>
              <w:rPr>
                <w:rFonts w:ascii="Times New Roman" w:hAnsi="Times New Roman"/>
                <w:b w:val="0"/>
                <w:i w:val="0"/>
                <w:sz w:val="16"/>
              </w:rPr>
              <w:t>85.3</w:t>
            </w:r>
          </w:p>
        </w:tc>
        <w:tc>
          <w:tcPr>
            <w:tcW w:w="1337" w:type="dxa"/>
          </w:tcPr>
          <w:p w14:paraId="3C12A027">
            <w:pPr>
              <w:jc w:val="center"/>
            </w:pPr>
            <w:r>
              <w:rPr>
                <w:rFonts w:ascii="Times New Roman" w:hAnsi="Times New Roman"/>
                <w:b w:val="0"/>
                <w:i w:val="0"/>
                <w:sz w:val="16"/>
              </w:rPr>
              <w:t>75.4–91.7</w:t>
            </w:r>
          </w:p>
        </w:tc>
        <w:tc>
          <w:tcPr>
            <w:tcW w:w="1337" w:type="dxa"/>
          </w:tcPr>
          <w:p w14:paraId="204C1FA4">
            <w:pPr>
              <w:jc w:val="center"/>
            </w:pPr>
            <w:r>
              <w:rPr>
                <w:rFonts w:ascii="Times New Roman" w:hAnsi="Times New Roman"/>
                <w:b w:val="0"/>
                <w:i w:val="0"/>
                <w:sz w:val="16"/>
              </w:rPr>
              <w:t>0</w:t>
            </w:r>
          </w:p>
        </w:tc>
        <w:tc>
          <w:tcPr>
            <w:tcW w:w="1337" w:type="dxa"/>
          </w:tcPr>
          <w:p w14:paraId="2F7E29FB">
            <w:pPr>
              <w:jc w:val="center"/>
            </w:pPr>
            <w:r>
              <w:rPr>
                <w:rFonts w:ascii="Times New Roman" w:hAnsi="Times New Roman"/>
                <w:b w:val="0"/>
                <w:i w:val="0"/>
                <w:sz w:val="16"/>
              </w:rPr>
              <w:t>0.02 (0.89)</w:t>
            </w:r>
          </w:p>
        </w:tc>
      </w:tr>
      <w:tr w14:paraId="05695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7" w:type="dxa"/>
          </w:tcPr>
          <w:p w14:paraId="673E65FD">
            <w:pPr>
              <w:jc w:val="center"/>
            </w:pPr>
            <w:r>
              <w:rPr>
                <w:rFonts w:ascii="Times New Roman" w:hAnsi="Times New Roman"/>
                <w:b w:val="0"/>
                <w:i w:val="0"/>
                <w:sz w:val="16"/>
              </w:rPr>
              <w:t>Cerumen/ear</w:t>
            </w:r>
          </w:p>
        </w:tc>
        <w:tc>
          <w:tcPr>
            <w:tcW w:w="1337" w:type="dxa"/>
          </w:tcPr>
          <w:p w14:paraId="7A543A4C">
            <w:pPr>
              <w:jc w:val="center"/>
            </w:pPr>
            <w:r>
              <w:rPr>
                <w:rFonts w:ascii="Times New Roman" w:hAnsi="Times New Roman"/>
                <w:b w:val="0"/>
                <w:i w:val="0"/>
                <w:sz w:val="16"/>
              </w:rPr>
              <w:t>1</w:t>
            </w:r>
          </w:p>
        </w:tc>
        <w:tc>
          <w:tcPr>
            <w:tcW w:w="1337" w:type="dxa"/>
          </w:tcPr>
          <w:p w14:paraId="5898AC37">
            <w:pPr>
              <w:jc w:val="center"/>
            </w:pPr>
            <w:r>
              <w:rPr>
                <w:rFonts w:ascii="Times New Roman" w:hAnsi="Times New Roman"/>
                <w:b w:val="0"/>
                <w:i w:val="0"/>
                <w:sz w:val="16"/>
              </w:rPr>
              <w:t>12</w:t>
            </w:r>
          </w:p>
        </w:tc>
        <w:tc>
          <w:tcPr>
            <w:tcW w:w="1337" w:type="dxa"/>
          </w:tcPr>
          <w:p w14:paraId="16189009">
            <w:pPr>
              <w:jc w:val="center"/>
            </w:pPr>
            <w:r>
              <w:rPr>
                <w:rFonts w:ascii="Times New Roman" w:hAnsi="Times New Roman"/>
                <w:b w:val="0"/>
                <w:i w:val="0"/>
                <w:sz w:val="16"/>
              </w:rPr>
              <w:t>83.3</w:t>
            </w:r>
          </w:p>
        </w:tc>
        <w:tc>
          <w:tcPr>
            <w:tcW w:w="1337" w:type="dxa"/>
          </w:tcPr>
          <w:p w14:paraId="0A3C1B43">
            <w:pPr>
              <w:jc w:val="center"/>
            </w:pPr>
            <w:r>
              <w:rPr>
                <w:rFonts w:ascii="Times New Roman" w:hAnsi="Times New Roman"/>
                <w:b w:val="0"/>
                <w:i w:val="0"/>
                <w:sz w:val="16"/>
              </w:rPr>
              <w:t>55.2–95.3</w:t>
            </w:r>
          </w:p>
        </w:tc>
        <w:tc>
          <w:tcPr>
            <w:tcW w:w="1337" w:type="dxa"/>
          </w:tcPr>
          <w:p w14:paraId="6C9A1D54">
            <w:pPr>
              <w:jc w:val="center"/>
            </w:pPr>
            <w:r>
              <w:rPr>
                <w:rFonts w:ascii="Times New Roman" w:hAnsi="Times New Roman"/>
                <w:b w:val="0"/>
                <w:i w:val="0"/>
                <w:sz w:val="16"/>
              </w:rPr>
              <w:t>0</w:t>
            </w:r>
          </w:p>
        </w:tc>
        <w:tc>
          <w:tcPr>
            <w:tcW w:w="1337" w:type="dxa"/>
          </w:tcPr>
          <w:p w14:paraId="482A5B86">
            <w:pPr>
              <w:jc w:val="center"/>
            </w:pPr>
            <w:r>
              <w:rPr>
                <w:rFonts w:ascii="Times New Roman" w:hAnsi="Times New Roman"/>
                <w:b w:val="0"/>
                <w:i w:val="0"/>
                <w:sz w:val="16"/>
              </w:rPr>
              <w:t>—</w:t>
            </w:r>
          </w:p>
        </w:tc>
      </w:tr>
      <w:tr w14:paraId="13D41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7" w:type="dxa"/>
          </w:tcPr>
          <w:p w14:paraId="006CB34E">
            <w:pPr>
              <w:jc w:val="center"/>
            </w:pPr>
            <w:r>
              <w:rPr>
                <w:rFonts w:ascii="Times New Roman" w:hAnsi="Times New Roman"/>
                <w:b w:val="0"/>
                <w:i w:val="0"/>
                <w:sz w:val="16"/>
              </w:rPr>
              <w:t>Lung</w:t>
            </w:r>
          </w:p>
        </w:tc>
        <w:tc>
          <w:tcPr>
            <w:tcW w:w="1337" w:type="dxa"/>
          </w:tcPr>
          <w:p w14:paraId="17519B16">
            <w:pPr>
              <w:jc w:val="center"/>
            </w:pPr>
            <w:r>
              <w:rPr>
                <w:rFonts w:ascii="Times New Roman" w:hAnsi="Times New Roman"/>
                <w:b w:val="0"/>
                <w:i w:val="0"/>
                <w:sz w:val="16"/>
              </w:rPr>
              <w:t>3</w:t>
            </w:r>
          </w:p>
        </w:tc>
        <w:tc>
          <w:tcPr>
            <w:tcW w:w="1337" w:type="dxa"/>
          </w:tcPr>
          <w:p w14:paraId="7ECF8E50">
            <w:pPr>
              <w:jc w:val="center"/>
            </w:pPr>
            <w:r>
              <w:rPr>
                <w:rFonts w:ascii="Times New Roman" w:hAnsi="Times New Roman"/>
                <w:b w:val="0"/>
                <w:i w:val="0"/>
                <w:sz w:val="16"/>
              </w:rPr>
              <w:t>86</w:t>
            </w:r>
          </w:p>
        </w:tc>
        <w:tc>
          <w:tcPr>
            <w:tcW w:w="1337" w:type="dxa"/>
          </w:tcPr>
          <w:p w14:paraId="54C4E586">
            <w:pPr>
              <w:jc w:val="center"/>
            </w:pPr>
            <w:r>
              <w:rPr>
                <w:rFonts w:ascii="Times New Roman" w:hAnsi="Times New Roman"/>
                <w:b w:val="0"/>
                <w:i w:val="0"/>
                <w:sz w:val="16"/>
              </w:rPr>
              <w:t>66.1</w:t>
            </w:r>
          </w:p>
        </w:tc>
        <w:tc>
          <w:tcPr>
            <w:tcW w:w="1337" w:type="dxa"/>
          </w:tcPr>
          <w:p w14:paraId="12AE685C">
            <w:pPr>
              <w:jc w:val="center"/>
            </w:pPr>
            <w:r>
              <w:rPr>
                <w:rFonts w:ascii="Times New Roman" w:hAnsi="Times New Roman"/>
                <w:b w:val="0"/>
                <w:i w:val="0"/>
                <w:sz w:val="16"/>
              </w:rPr>
              <w:t>55.4–75.4</w:t>
            </w:r>
          </w:p>
        </w:tc>
        <w:tc>
          <w:tcPr>
            <w:tcW w:w="1337" w:type="dxa"/>
          </w:tcPr>
          <w:p w14:paraId="5F94CD14">
            <w:pPr>
              <w:jc w:val="center"/>
            </w:pPr>
            <w:r>
              <w:rPr>
                <w:rFonts w:ascii="Times New Roman" w:hAnsi="Times New Roman"/>
                <w:b w:val="0"/>
                <w:i w:val="0"/>
                <w:sz w:val="16"/>
              </w:rPr>
              <w:t>0</w:t>
            </w:r>
          </w:p>
        </w:tc>
        <w:tc>
          <w:tcPr>
            <w:tcW w:w="1337" w:type="dxa"/>
          </w:tcPr>
          <w:p w14:paraId="6E35F73D">
            <w:pPr>
              <w:jc w:val="center"/>
            </w:pPr>
            <w:r>
              <w:rPr>
                <w:rFonts w:ascii="Times New Roman" w:hAnsi="Times New Roman"/>
                <w:b w:val="0"/>
                <w:i w:val="0"/>
                <w:sz w:val="16"/>
              </w:rPr>
              <w:t>1.33 (0.51)</w:t>
            </w:r>
          </w:p>
        </w:tc>
      </w:tr>
      <w:tr w14:paraId="780A1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7" w:type="dxa"/>
          </w:tcPr>
          <w:p w14:paraId="0E8F1228">
            <w:pPr>
              <w:jc w:val="center"/>
            </w:pPr>
            <w:r>
              <w:rPr>
                <w:rFonts w:ascii="Times New Roman" w:hAnsi="Times New Roman"/>
                <w:b w:val="0"/>
                <w:i w:val="0"/>
                <w:sz w:val="16"/>
              </w:rPr>
              <w:t>Semen/testis</w:t>
            </w:r>
          </w:p>
        </w:tc>
        <w:tc>
          <w:tcPr>
            <w:tcW w:w="1337" w:type="dxa"/>
          </w:tcPr>
          <w:p w14:paraId="261AA033">
            <w:pPr>
              <w:jc w:val="center"/>
            </w:pPr>
            <w:r>
              <w:rPr>
                <w:rFonts w:ascii="Times New Roman" w:hAnsi="Times New Roman"/>
                <w:b w:val="0"/>
                <w:i w:val="0"/>
                <w:sz w:val="16"/>
              </w:rPr>
              <w:t>2</w:t>
            </w:r>
          </w:p>
        </w:tc>
        <w:tc>
          <w:tcPr>
            <w:tcW w:w="1337" w:type="dxa"/>
          </w:tcPr>
          <w:p w14:paraId="45C9B446">
            <w:pPr>
              <w:jc w:val="center"/>
            </w:pPr>
            <w:r>
              <w:rPr>
                <w:rFonts w:ascii="Times New Roman" w:hAnsi="Times New Roman"/>
                <w:b w:val="0"/>
                <w:i w:val="0"/>
                <w:sz w:val="16"/>
              </w:rPr>
              <w:t>212</w:t>
            </w:r>
          </w:p>
        </w:tc>
        <w:tc>
          <w:tcPr>
            <w:tcW w:w="1337" w:type="dxa"/>
          </w:tcPr>
          <w:p w14:paraId="20ED4DE8">
            <w:pPr>
              <w:jc w:val="center"/>
            </w:pPr>
            <w:r>
              <w:rPr>
                <w:rFonts w:ascii="Times New Roman" w:hAnsi="Times New Roman"/>
                <w:b w:val="0"/>
                <w:i w:val="0"/>
                <w:sz w:val="16"/>
              </w:rPr>
              <w:t>55.2</w:t>
            </w:r>
          </w:p>
        </w:tc>
        <w:tc>
          <w:tcPr>
            <w:tcW w:w="1337" w:type="dxa"/>
          </w:tcPr>
          <w:p w14:paraId="44B519B9">
            <w:pPr>
              <w:jc w:val="center"/>
            </w:pPr>
            <w:r>
              <w:rPr>
                <w:rFonts w:ascii="Times New Roman" w:hAnsi="Times New Roman"/>
                <w:b w:val="0"/>
                <w:i w:val="0"/>
                <w:sz w:val="16"/>
              </w:rPr>
              <w:t>48.4–61.8</w:t>
            </w:r>
          </w:p>
        </w:tc>
        <w:tc>
          <w:tcPr>
            <w:tcW w:w="1337" w:type="dxa"/>
          </w:tcPr>
          <w:p w14:paraId="132A14D5">
            <w:pPr>
              <w:jc w:val="center"/>
            </w:pPr>
            <w:r>
              <w:rPr>
                <w:rFonts w:ascii="Times New Roman" w:hAnsi="Times New Roman"/>
                <w:b w:val="0"/>
                <w:i w:val="0"/>
                <w:sz w:val="16"/>
              </w:rPr>
              <w:t>0</w:t>
            </w:r>
          </w:p>
        </w:tc>
        <w:tc>
          <w:tcPr>
            <w:tcW w:w="1337" w:type="dxa"/>
          </w:tcPr>
          <w:p w14:paraId="3816BD0A">
            <w:pPr>
              <w:jc w:val="center"/>
            </w:pPr>
            <w:r>
              <w:rPr>
                <w:rFonts w:ascii="Times New Roman" w:hAnsi="Times New Roman"/>
                <w:b w:val="0"/>
                <w:i w:val="0"/>
                <w:sz w:val="16"/>
              </w:rPr>
              <w:t>0.14 (0.71)</w:t>
            </w:r>
          </w:p>
        </w:tc>
      </w:tr>
      <w:tr w14:paraId="09C7F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7" w:type="dxa"/>
          </w:tcPr>
          <w:p w14:paraId="6463EC9A">
            <w:pPr>
              <w:jc w:val="center"/>
            </w:pPr>
            <w:r>
              <w:rPr>
                <w:rFonts w:ascii="Times New Roman" w:hAnsi="Times New Roman"/>
                <w:b w:val="0"/>
                <w:i w:val="0"/>
                <w:sz w:val="16"/>
              </w:rPr>
              <w:t>Breast milk</w:t>
            </w:r>
          </w:p>
        </w:tc>
        <w:tc>
          <w:tcPr>
            <w:tcW w:w="1337" w:type="dxa"/>
          </w:tcPr>
          <w:p w14:paraId="01118216">
            <w:pPr>
              <w:jc w:val="center"/>
            </w:pPr>
            <w:r>
              <w:rPr>
                <w:rFonts w:ascii="Times New Roman" w:hAnsi="Times New Roman"/>
                <w:b w:val="0"/>
                <w:i w:val="0"/>
                <w:sz w:val="16"/>
              </w:rPr>
              <w:t>1</w:t>
            </w:r>
          </w:p>
        </w:tc>
        <w:tc>
          <w:tcPr>
            <w:tcW w:w="1337" w:type="dxa"/>
          </w:tcPr>
          <w:p w14:paraId="7D1F062E">
            <w:pPr>
              <w:jc w:val="center"/>
            </w:pPr>
            <w:r>
              <w:rPr>
                <w:rFonts w:ascii="Times New Roman" w:hAnsi="Times New Roman"/>
                <w:b w:val="0"/>
                <w:i w:val="0"/>
                <w:sz w:val="16"/>
              </w:rPr>
              <w:t>59</w:t>
            </w:r>
          </w:p>
        </w:tc>
        <w:tc>
          <w:tcPr>
            <w:tcW w:w="1337" w:type="dxa"/>
          </w:tcPr>
          <w:p w14:paraId="08C6D642">
            <w:pPr>
              <w:jc w:val="center"/>
            </w:pPr>
            <w:r>
              <w:rPr>
                <w:rFonts w:ascii="Times New Roman" w:hAnsi="Times New Roman"/>
                <w:b w:val="0"/>
                <w:i w:val="0"/>
                <w:sz w:val="16"/>
              </w:rPr>
              <w:t>39.0</w:t>
            </w:r>
          </w:p>
        </w:tc>
        <w:tc>
          <w:tcPr>
            <w:tcW w:w="1337" w:type="dxa"/>
          </w:tcPr>
          <w:p w14:paraId="5B8415A5">
            <w:pPr>
              <w:jc w:val="center"/>
            </w:pPr>
            <w:r>
              <w:rPr>
                <w:rFonts w:ascii="Times New Roman" w:hAnsi="Times New Roman"/>
                <w:b w:val="0"/>
                <w:i w:val="0"/>
                <w:sz w:val="16"/>
              </w:rPr>
              <w:t>27.6–51.7</w:t>
            </w:r>
          </w:p>
        </w:tc>
        <w:tc>
          <w:tcPr>
            <w:tcW w:w="1337" w:type="dxa"/>
          </w:tcPr>
          <w:p w14:paraId="7D13CA43">
            <w:pPr>
              <w:jc w:val="center"/>
            </w:pPr>
            <w:r>
              <w:rPr>
                <w:rFonts w:ascii="Times New Roman" w:hAnsi="Times New Roman"/>
                <w:b w:val="0"/>
                <w:i w:val="0"/>
                <w:sz w:val="16"/>
              </w:rPr>
              <w:t>0</w:t>
            </w:r>
          </w:p>
        </w:tc>
        <w:tc>
          <w:tcPr>
            <w:tcW w:w="1337" w:type="dxa"/>
          </w:tcPr>
          <w:p w14:paraId="77E9BAFF">
            <w:pPr>
              <w:jc w:val="center"/>
            </w:pPr>
            <w:r>
              <w:rPr>
                <w:rFonts w:ascii="Times New Roman" w:hAnsi="Times New Roman"/>
                <w:b w:val="0"/>
                <w:i w:val="0"/>
                <w:sz w:val="16"/>
              </w:rPr>
              <w:t>—</w:t>
            </w:r>
          </w:p>
        </w:tc>
      </w:tr>
      <w:tr w14:paraId="5057A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37" w:type="dxa"/>
          </w:tcPr>
          <w:p w14:paraId="1A6608D6">
            <w:pPr>
              <w:jc w:val="center"/>
            </w:pPr>
            <w:r>
              <w:rPr>
                <w:rFonts w:ascii="Times New Roman" w:hAnsi="Times New Roman"/>
                <w:b/>
                <w:i w:val="0"/>
                <w:sz w:val="16"/>
              </w:rPr>
              <w:t>Overall</w:t>
            </w:r>
          </w:p>
        </w:tc>
        <w:tc>
          <w:tcPr>
            <w:tcW w:w="1337" w:type="dxa"/>
          </w:tcPr>
          <w:p w14:paraId="05991BD7">
            <w:pPr>
              <w:jc w:val="center"/>
            </w:pPr>
            <w:r>
              <w:rPr>
                <w:rFonts w:ascii="Times New Roman" w:hAnsi="Times New Roman"/>
                <w:b/>
                <w:i w:val="0"/>
                <w:sz w:val="16"/>
              </w:rPr>
              <w:t>11</w:t>
            </w:r>
          </w:p>
        </w:tc>
        <w:tc>
          <w:tcPr>
            <w:tcW w:w="1337" w:type="dxa"/>
          </w:tcPr>
          <w:p w14:paraId="31F5A169">
            <w:pPr>
              <w:jc w:val="center"/>
            </w:pPr>
            <w:r>
              <w:rPr>
                <w:rFonts w:ascii="Times New Roman" w:hAnsi="Times New Roman"/>
                <w:b/>
                <w:i w:val="0"/>
                <w:sz w:val="16"/>
              </w:rPr>
              <w:t>474</w:t>
            </w:r>
          </w:p>
        </w:tc>
        <w:tc>
          <w:tcPr>
            <w:tcW w:w="1337" w:type="dxa"/>
          </w:tcPr>
          <w:p w14:paraId="188AA1A3">
            <w:pPr>
              <w:jc w:val="center"/>
            </w:pPr>
            <w:r>
              <w:rPr>
                <w:rFonts w:ascii="Times New Roman" w:hAnsi="Times New Roman"/>
                <w:b/>
                <w:i w:val="0"/>
                <w:sz w:val="16"/>
              </w:rPr>
              <w:t>68.5</w:t>
            </w:r>
          </w:p>
        </w:tc>
        <w:tc>
          <w:tcPr>
            <w:tcW w:w="1337" w:type="dxa"/>
          </w:tcPr>
          <w:p w14:paraId="6BEEF9D1">
            <w:pPr>
              <w:jc w:val="center"/>
            </w:pPr>
            <w:r>
              <w:rPr>
                <w:rFonts w:ascii="Times New Roman" w:hAnsi="Times New Roman"/>
                <w:b/>
                <w:i w:val="0"/>
                <w:sz w:val="16"/>
              </w:rPr>
              <w:t>56.3–78.6</w:t>
            </w:r>
          </w:p>
        </w:tc>
        <w:tc>
          <w:tcPr>
            <w:tcW w:w="1337" w:type="dxa"/>
          </w:tcPr>
          <w:p w14:paraId="6E943D57">
            <w:pPr>
              <w:jc w:val="center"/>
            </w:pPr>
            <w:r>
              <w:rPr>
                <w:rFonts w:ascii="Times New Roman" w:hAnsi="Times New Roman"/>
                <w:b/>
                <w:i w:val="0"/>
                <w:sz w:val="16"/>
              </w:rPr>
              <w:t>77</w:t>
            </w:r>
          </w:p>
        </w:tc>
        <w:tc>
          <w:tcPr>
            <w:tcW w:w="1337" w:type="dxa"/>
          </w:tcPr>
          <w:p w14:paraId="07556393">
            <w:pPr>
              <w:jc w:val="center"/>
            </w:pPr>
            <w:r>
              <w:rPr>
                <w:rFonts w:ascii="Times New Roman" w:hAnsi="Times New Roman"/>
                <w:b/>
                <w:i w:val="0"/>
                <w:sz w:val="16"/>
              </w:rPr>
              <w:t>43.3 (&lt;0.001)</w:t>
            </w:r>
          </w:p>
        </w:tc>
      </w:tr>
    </w:tbl>
    <w:p w14:paraId="7E6BE6A9"/>
    <w:p w14:paraId="26146A42">
      <w:r>
        <w:rPr>
          <w:rFonts w:ascii="Times New Roman" w:hAnsi="Times New Roman"/>
          <w:b w:val="0"/>
          <w:i/>
          <w:sz w:val="20"/>
        </w:rPr>
        <w:t>CI = confidence interval. Random-effects meta-analysis using DerSimonian-Laird method with Freeman-Tukey double arcsine transformation. Wilson score confidence intervals for individual studies.</w:t>
      </w:r>
    </w:p>
    <w:p w14:paraId="15AF0B47">
      <w:pPr>
        <w:pStyle w:val="5"/>
      </w:pPr>
      <w:r>
        <w:rPr>
          <w:rFonts w:ascii="Times New Roman" w:hAnsi="Times New Roman"/>
          <w:color w:val="000000"/>
        </w:rPr>
        <w:t>8.9.9 Quality Assessment of Human Evidence</w:t>
      </w:r>
    </w:p>
    <w:p w14:paraId="29BA1471">
      <w:r>
        <w:rPr>
          <w:rFonts w:ascii="Times New Roman" w:hAnsi="Times New Roman"/>
          <w:b w:val="0"/>
          <w:i w:val="0"/>
          <w:sz w:val="24"/>
        </w:rPr>
        <w:t>Quality assessment using the Modified Newcastle-Ottawa Scale revealed substantial limitations across the evidence base. Among the 11 meta-analyzed studies, the mean quality score was 3.4/9 (SD: 2.0), with 7 studies rated as moderate quality (4–6) and 4 as low quality (0–3). No studies achieved high quality (7–9). The most commonly unmet criteria were method validation (O1; met by 0/11 studies), recovery rate reporting (O3; 0/11), confounder adjustment (C1; 1/11), and non-respondent characterization (S3; 2/11). Contamination control (C2), a critical criterion for iMNP studies, was met by 7/11 studies [91].</w:t>
      </w:r>
    </w:p>
    <w:p w14:paraId="5A96DABB">
      <w:pPr>
        <w:ind w:left="567"/>
      </w:pPr>
      <w:r>
        <w:rPr>
          <w:rFonts w:ascii="Times New Roman" w:hAnsi="Times New Roman"/>
          <w:b w:val="0"/>
          <w:i/>
          <w:sz w:val="20"/>
        </w:rPr>
        <w:t>Table 8.4 presents the quality assessment scores for the 11 meta-analyzed studies.</w:t>
      </w:r>
    </w:p>
    <w:p w14:paraId="66218A6A">
      <w:pPr>
        <w:jc w:val="center"/>
      </w:pPr>
      <w:r>
        <w:rPr>
          <w:rFonts w:ascii="Times New Roman" w:hAnsi="Times New Roman"/>
          <w:b/>
          <w:i w:val="0"/>
          <w:sz w:val="20"/>
        </w:rPr>
        <w:t>Table 8.4. Quality Assessment of Studies Included in Meta-Analysis (Modified Newcastle-Ottawa Scale)</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6"/>
        <w:gridCol w:w="710"/>
        <w:gridCol w:w="700"/>
        <w:gridCol w:w="700"/>
        <w:gridCol w:w="700"/>
        <w:gridCol w:w="700"/>
        <w:gridCol w:w="701"/>
        <w:gridCol w:w="701"/>
        <w:gridCol w:w="702"/>
        <w:gridCol w:w="702"/>
        <w:gridCol w:w="702"/>
        <w:gridCol w:w="712"/>
        <w:gridCol w:w="830"/>
      </w:tblGrid>
      <w:tr w14:paraId="2A85B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D9E2F3"/>
          </w:tcPr>
          <w:p w14:paraId="2007A127">
            <w:pPr>
              <w:jc w:val="center"/>
            </w:pPr>
            <w:r>
              <w:rPr>
                <w:rFonts w:ascii="Times New Roman" w:hAnsi="Times New Roman"/>
                <w:b/>
                <w:i w:val="0"/>
                <w:sz w:val="16"/>
              </w:rPr>
              <w:t>Study</w:t>
            </w:r>
          </w:p>
        </w:tc>
        <w:tc>
          <w:tcPr>
            <w:tcW w:w="720" w:type="dxa"/>
            <w:shd w:val="clear" w:color="auto" w:fill="D9E2F3"/>
          </w:tcPr>
          <w:p w14:paraId="70BA356D">
            <w:pPr>
              <w:jc w:val="center"/>
            </w:pPr>
            <w:r>
              <w:rPr>
                <w:rFonts w:ascii="Times New Roman" w:hAnsi="Times New Roman"/>
                <w:b/>
                <w:i w:val="0"/>
                <w:sz w:val="16"/>
              </w:rPr>
              <w:t>Year</w:t>
            </w:r>
          </w:p>
        </w:tc>
        <w:tc>
          <w:tcPr>
            <w:tcW w:w="720" w:type="dxa"/>
            <w:shd w:val="clear" w:color="auto" w:fill="D9E2F3"/>
          </w:tcPr>
          <w:p w14:paraId="5E35B5BC">
            <w:pPr>
              <w:jc w:val="center"/>
            </w:pPr>
            <w:r>
              <w:rPr>
                <w:rFonts w:ascii="Times New Roman" w:hAnsi="Times New Roman"/>
                <w:b/>
                <w:i w:val="0"/>
                <w:sz w:val="16"/>
              </w:rPr>
              <w:t>S1</w:t>
            </w:r>
          </w:p>
        </w:tc>
        <w:tc>
          <w:tcPr>
            <w:tcW w:w="720" w:type="dxa"/>
            <w:shd w:val="clear" w:color="auto" w:fill="D9E2F3"/>
          </w:tcPr>
          <w:p w14:paraId="7C850A9E">
            <w:pPr>
              <w:jc w:val="center"/>
            </w:pPr>
            <w:r>
              <w:rPr>
                <w:rFonts w:ascii="Times New Roman" w:hAnsi="Times New Roman"/>
                <w:b/>
                <w:i w:val="0"/>
                <w:sz w:val="16"/>
              </w:rPr>
              <w:t>S2</w:t>
            </w:r>
          </w:p>
        </w:tc>
        <w:tc>
          <w:tcPr>
            <w:tcW w:w="720" w:type="dxa"/>
            <w:shd w:val="clear" w:color="auto" w:fill="D9E2F3"/>
          </w:tcPr>
          <w:p w14:paraId="18E7A0E8">
            <w:pPr>
              <w:jc w:val="center"/>
            </w:pPr>
            <w:r>
              <w:rPr>
                <w:rFonts w:ascii="Times New Roman" w:hAnsi="Times New Roman"/>
                <w:b/>
                <w:i w:val="0"/>
                <w:sz w:val="16"/>
              </w:rPr>
              <w:t>S3</w:t>
            </w:r>
          </w:p>
        </w:tc>
        <w:tc>
          <w:tcPr>
            <w:tcW w:w="720" w:type="dxa"/>
            <w:shd w:val="clear" w:color="auto" w:fill="D9E2F3"/>
          </w:tcPr>
          <w:p w14:paraId="15D9D48E">
            <w:pPr>
              <w:jc w:val="center"/>
            </w:pPr>
            <w:r>
              <w:rPr>
                <w:rFonts w:ascii="Times New Roman" w:hAnsi="Times New Roman"/>
                <w:b/>
                <w:i w:val="0"/>
                <w:sz w:val="16"/>
              </w:rPr>
              <w:t>S4</w:t>
            </w:r>
          </w:p>
        </w:tc>
        <w:tc>
          <w:tcPr>
            <w:tcW w:w="720" w:type="dxa"/>
            <w:shd w:val="clear" w:color="auto" w:fill="D9E2F3"/>
          </w:tcPr>
          <w:p w14:paraId="0E414532">
            <w:pPr>
              <w:jc w:val="center"/>
            </w:pPr>
            <w:r>
              <w:rPr>
                <w:rFonts w:ascii="Times New Roman" w:hAnsi="Times New Roman"/>
                <w:b/>
                <w:i w:val="0"/>
                <w:sz w:val="16"/>
              </w:rPr>
              <w:t>C1</w:t>
            </w:r>
          </w:p>
        </w:tc>
        <w:tc>
          <w:tcPr>
            <w:tcW w:w="720" w:type="dxa"/>
            <w:shd w:val="clear" w:color="auto" w:fill="D9E2F3"/>
          </w:tcPr>
          <w:p w14:paraId="534E5F12">
            <w:pPr>
              <w:jc w:val="center"/>
            </w:pPr>
            <w:r>
              <w:rPr>
                <w:rFonts w:ascii="Times New Roman" w:hAnsi="Times New Roman"/>
                <w:b/>
                <w:i w:val="0"/>
                <w:sz w:val="16"/>
              </w:rPr>
              <w:t>C2</w:t>
            </w:r>
          </w:p>
        </w:tc>
        <w:tc>
          <w:tcPr>
            <w:tcW w:w="720" w:type="dxa"/>
            <w:shd w:val="clear" w:color="auto" w:fill="D9E2F3"/>
          </w:tcPr>
          <w:p w14:paraId="3B010834">
            <w:pPr>
              <w:jc w:val="center"/>
            </w:pPr>
            <w:r>
              <w:rPr>
                <w:rFonts w:ascii="Times New Roman" w:hAnsi="Times New Roman"/>
                <w:b/>
                <w:i w:val="0"/>
                <w:sz w:val="16"/>
              </w:rPr>
              <w:t>O1</w:t>
            </w:r>
          </w:p>
        </w:tc>
        <w:tc>
          <w:tcPr>
            <w:tcW w:w="720" w:type="dxa"/>
            <w:shd w:val="clear" w:color="auto" w:fill="D9E2F3"/>
          </w:tcPr>
          <w:p w14:paraId="178C1970">
            <w:pPr>
              <w:jc w:val="center"/>
            </w:pPr>
            <w:r>
              <w:rPr>
                <w:rFonts w:ascii="Times New Roman" w:hAnsi="Times New Roman"/>
                <w:b/>
                <w:i w:val="0"/>
                <w:sz w:val="16"/>
              </w:rPr>
              <w:t>O2</w:t>
            </w:r>
          </w:p>
        </w:tc>
        <w:tc>
          <w:tcPr>
            <w:tcW w:w="720" w:type="dxa"/>
            <w:shd w:val="clear" w:color="auto" w:fill="D9E2F3"/>
          </w:tcPr>
          <w:p w14:paraId="185AF61A">
            <w:pPr>
              <w:jc w:val="center"/>
            </w:pPr>
            <w:r>
              <w:rPr>
                <w:rFonts w:ascii="Times New Roman" w:hAnsi="Times New Roman"/>
                <w:b/>
                <w:i w:val="0"/>
                <w:sz w:val="16"/>
              </w:rPr>
              <w:t>O3</w:t>
            </w:r>
          </w:p>
        </w:tc>
        <w:tc>
          <w:tcPr>
            <w:tcW w:w="720" w:type="dxa"/>
            <w:shd w:val="clear" w:color="auto" w:fill="D9E2F3"/>
          </w:tcPr>
          <w:p w14:paraId="458633C4">
            <w:pPr>
              <w:jc w:val="center"/>
            </w:pPr>
            <w:r>
              <w:rPr>
                <w:rFonts w:ascii="Times New Roman" w:hAnsi="Times New Roman"/>
                <w:b/>
                <w:i w:val="0"/>
                <w:sz w:val="16"/>
              </w:rPr>
              <w:t>Total (/9)</w:t>
            </w:r>
          </w:p>
        </w:tc>
        <w:tc>
          <w:tcPr>
            <w:tcW w:w="720" w:type="dxa"/>
            <w:shd w:val="clear" w:color="auto" w:fill="D9E2F3"/>
          </w:tcPr>
          <w:p w14:paraId="2AAEDBBC">
            <w:pPr>
              <w:jc w:val="center"/>
            </w:pPr>
            <w:r>
              <w:rPr>
                <w:rFonts w:ascii="Times New Roman" w:hAnsi="Times New Roman"/>
                <w:b/>
                <w:i w:val="0"/>
                <w:sz w:val="16"/>
              </w:rPr>
              <w:t>Grade</w:t>
            </w:r>
          </w:p>
        </w:tc>
      </w:tr>
      <w:tr w14:paraId="490F0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32938C3B">
            <w:pPr>
              <w:jc w:val="center"/>
            </w:pPr>
            <w:r>
              <w:rPr>
                <w:rFonts w:ascii="Times New Roman" w:hAnsi="Times New Roman"/>
                <w:b w:val="0"/>
                <w:i w:val="0"/>
                <w:sz w:val="16"/>
              </w:rPr>
              <w:t>Leonard et al. [92]</w:t>
            </w:r>
          </w:p>
        </w:tc>
        <w:tc>
          <w:tcPr>
            <w:tcW w:w="720" w:type="dxa"/>
          </w:tcPr>
          <w:p w14:paraId="35A12EEA">
            <w:pPr>
              <w:jc w:val="center"/>
            </w:pPr>
            <w:r>
              <w:rPr>
                <w:rFonts w:ascii="Times New Roman" w:hAnsi="Times New Roman"/>
                <w:b w:val="0"/>
                <w:i w:val="0"/>
                <w:sz w:val="16"/>
              </w:rPr>
              <w:t>2024</w:t>
            </w:r>
          </w:p>
        </w:tc>
        <w:tc>
          <w:tcPr>
            <w:tcW w:w="720" w:type="dxa"/>
          </w:tcPr>
          <w:p w14:paraId="102048E6">
            <w:pPr>
              <w:jc w:val="center"/>
            </w:pPr>
            <w:r>
              <w:rPr>
                <w:rFonts w:ascii="Times New Roman" w:hAnsi="Times New Roman"/>
                <w:b w:val="0"/>
                <w:i w:val="0"/>
                <w:sz w:val="16"/>
              </w:rPr>
              <w:t>0</w:t>
            </w:r>
          </w:p>
        </w:tc>
        <w:tc>
          <w:tcPr>
            <w:tcW w:w="720" w:type="dxa"/>
          </w:tcPr>
          <w:p w14:paraId="7BD4E014">
            <w:pPr>
              <w:jc w:val="center"/>
            </w:pPr>
            <w:r>
              <w:rPr>
                <w:rFonts w:ascii="Times New Roman" w:hAnsi="Times New Roman"/>
                <w:b w:val="0"/>
                <w:i w:val="0"/>
                <w:sz w:val="16"/>
              </w:rPr>
              <w:t>0</w:t>
            </w:r>
          </w:p>
        </w:tc>
        <w:tc>
          <w:tcPr>
            <w:tcW w:w="720" w:type="dxa"/>
          </w:tcPr>
          <w:p w14:paraId="5EC6F54A">
            <w:pPr>
              <w:jc w:val="center"/>
            </w:pPr>
            <w:r>
              <w:rPr>
                <w:rFonts w:ascii="Times New Roman" w:hAnsi="Times New Roman"/>
                <w:b w:val="0"/>
                <w:i w:val="0"/>
                <w:sz w:val="16"/>
              </w:rPr>
              <w:t>0</w:t>
            </w:r>
          </w:p>
        </w:tc>
        <w:tc>
          <w:tcPr>
            <w:tcW w:w="720" w:type="dxa"/>
          </w:tcPr>
          <w:p w14:paraId="3E446BD5">
            <w:pPr>
              <w:jc w:val="center"/>
            </w:pPr>
            <w:r>
              <w:rPr>
                <w:rFonts w:ascii="Times New Roman" w:hAnsi="Times New Roman"/>
                <w:b w:val="0"/>
                <w:i w:val="0"/>
                <w:sz w:val="16"/>
              </w:rPr>
              <w:t>0</w:t>
            </w:r>
          </w:p>
        </w:tc>
        <w:tc>
          <w:tcPr>
            <w:tcW w:w="720" w:type="dxa"/>
          </w:tcPr>
          <w:p w14:paraId="44890F3F">
            <w:pPr>
              <w:jc w:val="center"/>
            </w:pPr>
            <w:r>
              <w:rPr>
                <w:rFonts w:ascii="Times New Roman" w:hAnsi="Times New Roman"/>
                <w:b w:val="0"/>
                <w:i w:val="0"/>
                <w:sz w:val="16"/>
              </w:rPr>
              <w:t>0</w:t>
            </w:r>
          </w:p>
        </w:tc>
        <w:tc>
          <w:tcPr>
            <w:tcW w:w="720" w:type="dxa"/>
          </w:tcPr>
          <w:p w14:paraId="5690D257">
            <w:pPr>
              <w:jc w:val="center"/>
            </w:pPr>
            <w:r>
              <w:rPr>
                <w:rFonts w:ascii="Times New Roman" w:hAnsi="Times New Roman"/>
                <w:b w:val="0"/>
                <w:i w:val="0"/>
                <w:sz w:val="16"/>
              </w:rPr>
              <w:t>1</w:t>
            </w:r>
          </w:p>
        </w:tc>
        <w:tc>
          <w:tcPr>
            <w:tcW w:w="720" w:type="dxa"/>
          </w:tcPr>
          <w:p w14:paraId="686CE974">
            <w:pPr>
              <w:jc w:val="center"/>
            </w:pPr>
            <w:r>
              <w:rPr>
                <w:rFonts w:ascii="Times New Roman" w:hAnsi="Times New Roman"/>
                <w:b w:val="0"/>
                <w:i w:val="0"/>
                <w:sz w:val="16"/>
              </w:rPr>
              <w:t>0</w:t>
            </w:r>
          </w:p>
        </w:tc>
        <w:tc>
          <w:tcPr>
            <w:tcW w:w="720" w:type="dxa"/>
          </w:tcPr>
          <w:p w14:paraId="073C6409">
            <w:pPr>
              <w:jc w:val="center"/>
            </w:pPr>
            <w:r>
              <w:rPr>
                <w:rFonts w:ascii="Times New Roman" w:hAnsi="Times New Roman"/>
                <w:b w:val="0"/>
                <w:i w:val="0"/>
                <w:sz w:val="16"/>
              </w:rPr>
              <w:t>1</w:t>
            </w:r>
          </w:p>
        </w:tc>
        <w:tc>
          <w:tcPr>
            <w:tcW w:w="720" w:type="dxa"/>
          </w:tcPr>
          <w:p w14:paraId="1C8AD768">
            <w:pPr>
              <w:jc w:val="center"/>
            </w:pPr>
            <w:r>
              <w:rPr>
                <w:rFonts w:ascii="Times New Roman" w:hAnsi="Times New Roman"/>
                <w:b w:val="0"/>
                <w:i w:val="0"/>
                <w:sz w:val="16"/>
              </w:rPr>
              <w:t>0</w:t>
            </w:r>
          </w:p>
        </w:tc>
        <w:tc>
          <w:tcPr>
            <w:tcW w:w="720" w:type="dxa"/>
          </w:tcPr>
          <w:p w14:paraId="0788A1F6">
            <w:pPr>
              <w:jc w:val="center"/>
            </w:pPr>
            <w:r>
              <w:rPr>
                <w:rFonts w:ascii="Times New Roman" w:hAnsi="Times New Roman"/>
                <w:b w:val="0"/>
                <w:i w:val="0"/>
                <w:sz w:val="16"/>
              </w:rPr>
              <w:t>2</w:t>
            </w:r>
          </w:p>
        </w:tc>
        <w:tc>
          <w:tcPr>
            <w:tcW w:w="720" w:type="dxa"/>
          </w:tcPr>
          <w:p w14:paraId="0AFA9AD8">
            <w:pPr>
              <w:jc w:val="center"/>
            </w:pPr>
            <w:r>
              <w:rPr>
                <w:rFonts w:ascii="Times New Roman" w:hAnsi="Times New Roman"/>
                <w:b w:val="0"/>
                <w:i w:val="0"/>
                <w:sz w:val="16"/>
              </w:rPr>
              <w:t>Low</w:t>
            </w:r>
          </w:p>
        </w:tc>
      </w:tr>
      <w:tr w14:paraId="28E9A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2FC4EA17">
            <w:pPr>
              <w:jc w:val="center"/>
            </w:pPr>
            <w:r>
              <w:rPr>
                <w:rFonts w:ascii="Times New Roman" w:hAnsi="Times New Roman"/>
                <w:b w:val="0"/>
                <w:i w:val="0"/>
                <w:sz w:val="16"/>
              </w:rPr>
              <w:t>Ke et al. [98]</w:t>
            </w:r>
          </w:p>
        </w:tc>
        <w:tc>
          <w:tcPr>
            <w:tcW w:w="720" w:type="dxa"/>
          </w:tcPr>
          <w:p w14:paraId="18025FAC">
            <w:pPr>
              <w:jc w:val="center"/>
            </w:pPr>
            <w:r>
              <w:rPr>
                <w:rFonts w:ascii="Times New Roman" w:hAnsi="Times New Roman"/>
                <w:b w:val="0"/>
                <w:i w:val="0"/>
                <w:sz w:val="16"/>
              </w:rPr>
              <w:t>2023</w:t>
            </w:r>
          </w:p>
        </w:tc>
        <w:tc>
          <w:tcPr>
            <w:tcW w:w="720" w:type="dxa"/>
          </w:tcPr>
          <w:p w14:paraId="2A35FE95">
            <w:pPr>
              <w:jc w:val="center"/>
            </w:pPr>
            <w:r>
              <w:rPr>
                <w:rFonts w:ascii="Times New Roman" w:hAnsi="Times New Roman"/>
                <w:b w:val="0"/>
                <w:i w:val="0"/>
                <w:sz w:val="16"/>
              </w:rPr>
              <w:t>1</w:t>
            </w:r>
          </w:p>
        </w:tc>
        <w:tc>
          <w:tcPr>
            <w:tcW w:w="720" w:type="dxa"/>
          </w:tcPr>
          <w:p w14:paraId="120CE15F">
            <w:pPr>
              <w:jc w:val="center"/>
            </w:pPr>
            <w:r>
              <w:rPr>
                <w:rFonts w:ascii="Times New Roman" w:hAnsi="Times New Roman"/>
                <w:b w:val="0"/>
                <w:i w:val="0"/>
                <w:sz w:val="16"/>
              </w:rPr>
              <w:t>1</w:t>
            </w:r>
          </w:p>
        </w:tc>
        <w:tc>
          <w:tcPr>
            <w:tcW w:w="720" w:type="dxa"/>
          </w:tcPr>
          <w:p w14:paraId="19619036">
            <w:pPr>
              <w:jc w:val="center"/>
            </w:pPr>
            <w:r>
              <w:rPr>
                <w:rFonts w:ascii="Times New Roman" w:hAnsi="Times New Roman"/>
                <w:b w:val="0"/>
                <w:i w:val="0"/>
                <w:sz w:val="16"/>
              </w:rPr>
              <w:t>0</w:t>
            </w:r>
          </w:p>
        </w:tc>
        <w:tc>
          <w:tcPr>
            <w:tcW w:w="720" w:type="dxa"/>
          </w:tcPr>
          <w:p w14:paraId="126A7FE1">
            <w:pPr>
              <w:jc w:val="center"/>
            </w:pPr>
            <w:r>
              <w:rPr>
                <w:rFonts w:ascii="Times New Roman" w:hAnsi="Times New Roman"/>
                <w:b w:val="0"/>
                <w:i w:val="0"/>
                <w:sz w:val="16"/>
              </w:rPr>
              <w:t>1</w:t>
            </w:r>
          </w:p>
        </w:tc>
        <w:tc>
          <w:tcPr>
            <w:tcW w:w="720" w:type="dxa"/>
          </w:tcPr>
          <w:p w14:paraId="5FEC07E5">
            <w:pPr>
              <w:jc w:val="center"/>
            </w:pPr>
            <w:r>
              <w:rPr>
                <w:rFonts w:ascii="Times New Roman" w:hAnsi="Times New Roman"/>
                <w:b w:val="0"/>
                <w:i w:val="0"/>
                <w:sz w:val="16"/>
              </w:rPr>
              <w:t>0</w:t>
            </w:r>
          </w:p>
        </w:tc>
        <w:tc>
          <w:tcPr>
            <w:tcW w:w="720" w:type="dxa"/>
          </w:tcPr>
          <w:p w14:paraId="24369B3A">
            <w:pPr>
              <w:jc w:val="center"/>
            </w:pPr>
            <w:r>
              <w:rPr>
                <w:rFonts w:ascii="Times New Roman" w:hAnsi="Times New Roman"/>
                <w:b w:val="0"/>
                <w:i w:val="0"/>
                <w:sz w:val="16"/>
              </w:rPr>
              <w:t>1</w:t>
            </w:r>
          </w:p>
        </w:tc>
        <w:tc>
          <w:tcPr>
            <w:tcW w:w="720" w:type="dxa"/>
          </w:tcPr>
          <w:p w14:paraId="3F31D6ED">
            <w:pPr>
              <w:jc w:val="center"/>
            </w:pPr>
            <w:r>
              <w:rPr>
                <w:rFonts w:ascii="Times New Roman" w:hAnsi="Times New Roman"/>
                <w:b w:val="0"/>
                <w:i w:val="0"/>
                <w:sz w:val="16"/>
              </w:rPr>
              <w:t>0</w:t>
            </w:r>
          </w:p>
        </w:tc>
        <w:tc>
          <w:tcPr>
            <w:tcW w:w="720" w:type="dxa"/>
          </w:tcPr>
          <w:p w14:paraId="38832E6A">
            <w:pPr>
              <w:jc w:val="center"/>
            </w:pPr>
            <w:r>
              <w:rPr>
                <w:rFonts w:ascii="Times New Roman" w:hAnsi="Times New Roman"/>
                <w:b w:val="0"/>
                <w:i w:val="0"/>
                <w:sz w:val="16"/>
              </w:rPr>
              <w:t>1</w:t>
            </w:r>
          </w:p>
        </w:tc>
        <w:tc>
          <w:tcPr>
            <w:tcW w:w="720" w:type="dxa"/>
          </w:tcPr>
          <w:p w14:paraId="308A35C6">
            <w:pPr>
              <w:jc w:val="center"/>
            </w:pPr>
            <w:r>
              <w:rPr>
                <w:rFonts w:ascii="Times New Roman" w:hAnsi="Times New Roman"/>
                <w:b w:val="0"/>
                <w:i w:val="0"/>
                <w:sz w:val="16"/>
              </w:rPr>
              <w:t>0</w:t>
            </w:r>
          </w:p>
        </w:tc>
        <w:tc>
          <w:tcPr>
            <w:tcW w:w="720" w:type="dxa"/>
          </w:tcPr>
          <w:p w14:paraId="414E74BE">
            <w:pPr>
              <w:jc w:val="center"/>
            </w:pPr>
            <w:r>
              <w:rPr>
                <w:rFonts w:ascii="Times New Roman" w:hAnsi="Times New Roman"/>
                <w:b w:val="0"/>
                <w:i w:val="0"/>
                <w:sz w:val="16"/>
              </w:rPr>
              <w:t>5</w:t>
            </w:r>
          </w:p>
        </w:tc>
        <w:tc>
          <w:tcPr>
            <w:tcW w:w="720" w:type="dxa"/>
          </w:tcPr>
          <w:p w14:paraId="73AA9563">
            <w:pPr>
              <w:jc w:val="center"/>
            </w:pPr>
            <w:r>
              <w:rPr>
                <w:rFonts w:ascii="Times New Roman" w:hAnsi="Times New Roman"/>
                <w:b w:val="0"/>
                <w:i w:val="0"/>
                <w:sz w:val="16"/>
              </w:rPr>
              <w:t>Moderate</w:t>
            </w:r>
          </w:p>
        </w:tc>
      </w:tr>
      <w:tr w14:paraId="5F693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19D2B785">
            <w:pPr>
              <w:jc w:val="center"/>
            </w:pPr>
            <w:r>
              <w:rPr>
                <w:rFonts w:ascii="Times New Roman" w:hAnsi="Times New Roman"/>
                <w:b w:val="0"/>
                <w:i w:val="0"/>
                <w:sz w:val="16"/>
              </w:rPr>
              <w:t>Arslan et al. [80]</w:t>
            </w:r>
          </w:p>
        </w:tc>
        <w:tc>
          <w:tcPr>
            <w:tcW w:w="720" w:type="dxa"/>
          </w:tcPr>
          <w:p w14:paraId="099AE182">
            <w:pPr>
              <w:jc w:val="center"/>
            </w:pPr>
            <w:r>
              <w:rPr>
                <w:rFonts w:ascii="Times New Roman" w:hAnsi="Times New Roman"/>
                <w:b w:val="0"/>
                <w:i w:val="0"/>
                <w:sz w:val="16"/>
              </w:rPr>
              <w:t>2025</w:t>
            </w:r>
          </w:p>
        </w:tc>
        <w:tc>
          <w:tcPr>
            <w:tcW w:w="720" w:type="dxa"/>
          </w:tcPr>
          <w:p w14:paraId="6C2A0A7D">
            <w:pPr>
              <w:jc w:val="center"/>
            </w:pPr>
            <w:r>
              <w:rPr>
                <w:rFonts w:ascii="Times New Roman" w:hAnsi="Times New Roman"/>
                <w:b w:val="0"/>
                <w:i w:val="0"/>
                <w:sz w:val="16"/>
              </w:rPr>
              <w:t>1</w:t>
            </w:r>
          </w:p>
        </w:tc>
        <w:tc>
          <w:tcPr>
            <w:tcW w:w="720" w:type="dxa"/>
          </w:tcPr>
          <w:p w14:paraId="3331B2C1">
            <w:pPr>
              <w:jc w:val="center"/>
            </w:pPr>
            <w:r>
              <w:rPr>
                <w:rFonts w:ascii="Times New Roman" w:hAnsi="Times New Roman"/>
                <w:b w:val="0"/>
                <w:i w:val="0"/>
                <w:sz w:val="16"/>
              </w:rPr>
              <w:t>1</w:t>
            </w:r>
          </w:p>
        </w:tc>
        <w:tc>
          <w:tcPr>
            <w:tcW w:w="720" w:type="dxa"/>
          </w:tcPr>
          <w:p w14:paraId="14843495">
            <w:pPr>
              <w:jc w:val="center"/>
            </w:pPr>
            <w:r>
              <w:rPr>
                <w:rFonts w:ascii="Times New Roman" w:hAnsi="Times New Roman"/>
                <w:b w:val="0"/>
                <w:i w:val="0"/>
                <w:sz w:val="16"/>
              </w:rPr>
              <w:t>1</w:t>
            </w:r>
          </w:p>
        </w:tc>
        <w:tc>
          <w:tcPr>
            <w:tcW w:w="720" w:type="dxa"/>
          </w:tcPr>
          <w:p w14:paraId="1BA4C647">
            <w:pPr>
              <w:jc w:val="center"/>
            </w:pPr>
            <w:r>
              <w:rPr>
                <w:rFonts w:ascii="Times New Roman" w:hAnsi="Times New Roman"/>
                <w:b w:val="0"/>
                <w:i w:val="0"/>
                <w:sz w:val="16"/>
              </w:rPr>
              <w:t>0</w:t>
            </w:r>
          </w:p>
        </w:tc>
        <w:tc>
          <w:tcPr>
            <w:tcW w:w="720" w:type="dxa"/>
          </w:tcPr>
          <w:p w14:paraId="3B7871ED">
            <w:pPr>
              <w:jc w:val="center"/>
            </w:pPr>
            <w:r>
              <w:rPr>
                <w:rFonts w:ascii="Times New Roman" w:hAnsi="Times New Roman"/>
                <w:b w:val="0"/>
                <w:i w:val="0"/>
                <w:sz w:val="16"/>
              </w:rPr>
              <w:t>0</w:t>
            </w:r>
          </w:p>
        </w:tc>
        <w:tc>
          <w:tcPr>
            <w:tcW w:w="720" w:type="dxa"/>
          </w:tcPr>
          <w:p w14:paraId="2C526EBC">
            <w:pPr>
              <w:jc w:val="center"/>
            </w:pPr>
            <w:r>
              <w:rPr>
                <w:rFonts w:ascii="Times New Roman" w:hAnsi="Times New Roman"/>
                <w:b w:val="0"/>
                <w:i w:val="0"/>
                <w:sz w:val="16"/>
              </w:rPr>
              <w:t>1</w:t>
            </w:r>
          </w:p>
        </w:tc>
        <w:tc>
          <w:tcPr>
            <w:tcW w:w="720" w:type="dxa"/>
          </w:tcPr>
          <w:p w14:paraId="3918B90B">
            <w:pPr>
              <w:jc w:val="center"/>
            </w:pPr>
            <w:r>
              <w:rPr>
                <w:rFonts w:ascii="Times New Roman" w:hAnsi="Times New Roman"/>
                <w:b w:val="0"/>
                <w:i w:val="0"/>
                <w:sz w:val="16"/>
              </w:rPr>
              <w:t>0</w:t>
            </w:r>
          </w:p>
        </w:tc>
        <w:tc>
          <w:tcPr>
            <w:tcW w:w="720" w:type="dxa"/>
          </w:tcPr>
          <w:p w14:paraId="53B9CCC1">
            <w:pPr>
              <w:jc w:val="center"/>
            </w:pPr>
            <w:r>
              <w:rPr>
                <w:rFonts w:ascii="Times New Roman" w:hAnsi="Times New Roman"/>
                <w:b w:val="0"/>
                <w:i w:val="0"/>
                <w:sz w:val="16"/>
              </w:rPr>
              <w:t>1</w:t>
            </w:r>
          </w:p>
        </w:tc>
        <w:tc>
          <w:tcPr>
            <w:tcW w:w="720" w:type="dxa"/>
          </w:tcPr>
          <w:p w14:paraId="4717FBF2">
            <w:pPr>
              <w:jc w:val="center"/>
            </w:pPr>
            <w:r>
              <w:rPr>
                <w:rFonts w:ascii="Times New Roman" w:hAnsi="Times New Roman"/>
                <w:b w:val="0"/>
                <w:i w:val="0"/>
                <w:sz w:val="16"/>
              </w:rPr>
              <w:t>0</w:t>
            </w:r>
          </w:p>
        </w:tc>
        <w:tc>
          <w:tcPr>
            <w:tcW w:w="720" w:type="dxa"/>
          </w:tcPr>
          <w:p w14:paraId="3661A84B">
            <w:pPr>
              <w:jc w:val="center"/>
            </w:pPr>
            <w:r>
              <w:rPr>
                <w:rFonts w:ascii="Times New Roman" w:hAnsi="Times New Roman"/>
                <w:b w:val="0"/>
                <w:i w:val="0"/>
                <w:sz w:val="16"/>
              </w:rPr>
              <w:t>5</w:t>
            </w:r>
          </w:p>
        </w:tc>
        <w:tc>
          <w:tcPr>
            <w:tcW w:w="720" w:type="dxa"/>
          </w:tcPr>
          <w:p w14:paraId="15B2A2CF">
            <w:pPr>
              <w:jc w:val="center"/>
            </w:pPr>
            <w:r>
              <w:rPr>
                <w:rFonts w:ascii="Times New Roman" w:hAnsi="Times New Roman"/>
                <w:b w:val="0"/>
                <w:i w:val="0"/>
                <w:sz w:val="16"/>
              </w:rPr>
              <w:t>Moderate</w:t>
            </w:r>
          </w:p>
        </w:tc>
      </w:tr>
      <w:tr w14:paraId="76953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19499FEA">
            <w:pPr>
              <w:jc w:val="center"/>
            </w:pPr>
            <w:r>
              <w:rPr>
                <w:rFonts w:ascii="Times New Roman" w:hAnsi="Times New Roman"/>
                <w:b w:val="0"/>
                <w:i w:val="0"/>
                <w:sz w:val="16"/>
              </w:rPr>
              <w:t>Santini et al. [99]</w:t>
            </w:r>
          </w:p>
        </w:tc>
        <w:tc>
          <w:tcPr>
            <w:tcW w:w="720" w:type="dxa"/>
          </w:tcPr>
          <w:p w14:paraId="382070EA">
            <w:pPr>
              <w:jc w:val="center"/>
            </w:pPr>
            <w:r>
              <w:rPr>
                <w:rFonts w:ascii="Times New Roman" w:hAnsi="Times New Roman"/>
                <w:b w:val="0"/>
                <w:i w:val="0"/>
                <w:sz w:val="16"/>
              </w:rPr>
              <w:t>2024</w:t>
            </w:r>
          </w:p>
        </w:tc>
        <w:tc>
          <w:tcPr>
            <w:tcW w:w="720" w:type="dxa"/>
          </w:tcPr>
          <w:p w14:paraId="6325AB10">
            <w:pPr>
              <w:jc w:val="center"/>
            </w:pPr>
            <w:r>
              <w:rPr>
                <w:rFonts w:ascii="Times New Roman" w:hAnsi="Times New Roman"/>
                <w:b w:val="0"/>
                <w:i w:val="0"/>
                <w:sz w:val="16"/>
              </w:rPr>
              <w:t>1</w:t>
            </w:r>
          </w:p>
        </w:tc>
        <w:tc>
          <w:tcPr>
            <w:tcW w:w="720" w:type="dxa"/>
          </w:tcPr>
          <w:p w14:paraId="0E87F95A">
            <w:pPr>
              <w:jc w:val="center"/>
            </w:pPr>
            <w:r>
              <w:rPr>
                <w:rFonts w:ascii="Times New Roman" w:hAnsi="Times New Roman"/>
                <w:b w:val="0"/>
                <w:i w:val="0"/>
                <w:sz w:val="16"/>
              </w:rPr>
              <w:t>0</w:t>
            </w:r>
          </w:p>
        </w:tc>
        <w:tc>
          <w:tcPr>
            <w:tcW w:w="720" w:type="dxa"/>
          </w:tcPr>
          <w:p w14:paraId="65E9F9B5">
            <w:pPr>
              <w:jc w:val="center"/>
            </w:pPr>
            <w:r>
              <w:rPr>
                <w:rFonts w:ascii="Times New Roman" w:hAnsi="Times New Roman"/>
                <w:b w:val="0"/>
                <w:i w:val="0"/>
                <w:sz w:val="16"/>
              </w:rPr>
              <w:t>0</w:t>
            </w:r>
          </w:p>
        </w:tc>
        <w:tc>
          <w:tcPr>
            <w:tcW w:w="720" w:type="dxa"/>
          </w:tcPr>
          <w:p w14:paraId="7C5AF76B">
            <w:pPr>
              <w:jc w:val="center"/>
            </w:pPr>
            <w:r>
              <w:rPr>
                <w:rFonts w:ascii="Times New Roman" w:hAnsi="Times New Roman"/>
                <w:b w:val="0"/>
                <w:i w:val="0"/>
                <w:sz w:val="16"/>
              </w:rPr>
              <w:t>1</w:t>
            </w:r>
          </w:p>
        </w:tc>
        <w:tc>
          <w:tcPr>
            <w:tcW w:w="720" w:type="dxa"/>
          </w:tcPr>
          <w:p w14:paraId="0717628C">
            <w:pPr>
              <w:jc w:val="center"/>
            </w:pPr>
            <w:r>
              <w:rPr>
                <w:rFonts w:ascii="Times New Roman" w:hAnsi="Times New Roman"/>
                <w:b w:val="0"/>
                <w:i w:val="0"/>
                <w:sz w:val="16"/>
              </w:rPr>
              <w:t>0</w:t>
            </w:r>
          </w:p>
        </w:tc>
        <w:tc>
          <w:tcPr>
            <w:tcW w:w="720" w:type="dxa"/>
          </w:tcPr>
          <w:p w14:paraId="4C6C087E">
            <w:pPr>
              <w:jc w:val="center"/>
            </w:pPr>
            <w:r>
              <w:rPr>
                <w:rFonts w:ascii="Times New Roman" w:hAnsi="Times New Roman"/>
                <w:b w:val="0"/>
                <w:i w:val="0"/>
                <w:sz w:val="16"/>
              </w:rPr>
              <w:t>1</w:t>
            </w:r>
          </w:p>
        </w:tc>
        <w:tc>
          <w:tcPr>
            <w:tcW w:w="720" w:type="dxa"/>
          </w:tcPr>
          <w:p w14:paraId="3A319E59">
            <w:pPr>
              <w:jc w:val="center"/>
            </w:pPr>
            <w:r>
              <w:rPr>
                <w:rFonts w:ascii="Times New Roman" w:hAnsi="Times New Roman"/>
                <w:b w:val="0"/>
                <w:i w:val="0"/>
                <w:sz w:val="16"/>
              </w:rPr>
              <w:t>0</w:t>
            </w:r>
          </w:p>
        </w:tc>
        <w:tc>
          <w:tcPr>
            <w:tcW w:w="720" w:type="dxa"/>
          </w:tcPr>
          <w:p w14:paraId="414EF2CB">
            <w:pPr>
              <w:jc w:val="center"/>
            </w:pPr>
            <w:r>
              <w:rPr>
                <w:rFonts w:ascii="Times New Roman" w:hAnsi="Times New Roman"/>
                <w:b w:val="0"/>
                <w:i w:val="0"/>
                <w:sz w:val="16"/>
              </w:rPr>
              <w:t>1</w:t>
            </w:r>
          </w:p>
        </w:tc>
        <w:tc>
          <w:tcPr>
            <w:tcW w:w="720" w:type="dxa"/>
          </w:tcPr>
          <w:p w14:paraId="447E0F3A">
            <w:pPr>
              <w:jc w:val="center"/>
            </w:pPr>
            <w:r>
              <w:rPr>
                <w:rFonts w:ascii="Times New Roman" w:hAnsi="Times New Roman"/>
                <w:b w:val="0"/>
                <w:i w:val="0"/>
                <w:sz w:val="16"/>
              </w:rPr>
              <w:t>0</w:t>
            </w:r>
          </w:p>
        </w:tc>
        <w:tc>
          <w:tcPr>
            <w:tcW w:w="720" w:type="dxa"/>
          </w:tcPr>
          <w:p w14:paraId="2A473613">
            <w:pPr>
              <w:jc w:val="center"/>
            </w:pPr>
            <w:r>
              <w:rPr>
                <w:rFonts w:ascii="Times New Roman" w:hAnsi="Times New Roman"/>
                <w:b w:val="0"/>
                <w:i w:val="0"/>
                <w:sz w:val="16"/>
              </w:rPr>
              <w:t>4</w:t>
            </w:r>
          </w:p>
        </w:tc>
        <w:tc>
          <w:tcPr>
            <w:tcW w:w="720" w:type="dxa"/>
          </w:tcPr>
          <w:p w14:paraId="642A5732">
            <w:pPr>
              <w:jc w:val="center"/>
            </w:pPr>
            <w:r>
              <w:rPr>
                <w:rFonts w:ascii="Times New Roman" w:hAnsi="Times New Roman"/>
                <w:b w:val="0"/>
                <w:i w:val="0"/>
                <w:sz w:val="16"/>
              </w:rPr>
              <w:t>Moderate</w:t>
            </w:r>
          </w:p>
        </w:tc>
      </w:tr>
      <w:tr w14:paraId="3B9C9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260754A0">
            <w:pPr>
              <w:jc w:val="center"/>
            </w:pPr>
            <w:r>
              <w:rPr>
                <w:rFonts w:ascii="Times New Roman" w:hAnsi="Times New Roman"/>
                <w:b w:val="0"/>
                <w:i w:val="0"/>
                <w:sz w:val="16"/>
              </w:rPr>
              <w:t>Zakynthinos et al. [96]</w:t>
            </w:r>
          </w:p>
        </w:tc>
        <w:tc>
          <w:tcPr>
            <w:tcW w:w="720" w:type="dxa"/>
          </w:tcPr>
          <w:p w14:paraId="5ED10906">
            <w:pPr>
              <w:jc w:val="center"/>
            </w:pPr>
            <w:r>
              <w:rPr>
                <w:rFonts w:ascii="Times New Roman" w:hAnsi="Times New Roman"/>
                <w:b w:val="0"/>
                <w:i w:val="0"/>
                <w:sz w:val="16"/>
              </w:rPr>
              <w:t>2025</w:t>
            </w:r>
          </w:p>
        </w:tc>
        <w:tc>
          <w:tcPr>
            <w:tcW w:w="720" w:type="dxa"/>
          </w:tcPr>
          <w:p w14:paraId="59D39249">
            <w:pPr>
              <w:jc w:val="center"/>
            </w:pPr>
            <w:r>
              <w:rPr>
                <w:rFonts w:ascii="Times New Roman" w:hAnsi="Times New Roman"/>
                <w:b w:val="0"/>
                <w:i w:val="0"/>
                <w:sz w:val="16"/>
              </w:rPr>
              <w:t>1</w:t>
            </w:r>
          </w:p>
        </w:tc>
        <w:tc>
          <w:tcPr>
            <w:tcW w:w="720" w:type="dxa"/>
          </w:tcPr>
          <w:p w14:paraId="33DACEAA">
            <w:pPr>
              <w:jc w:val="center"/>
            </w:pPr>
            <w:r>
              <w:rPr>
                <w:rFonts w:ascii="Times New Roman" w:hAnsi="Times New Roman"/>
                <w:b w:val="0"/>
                <w:i w:val="0"/>
                <w:sz w:val="16"/>
              </w:rPr>
              <w:t>1</w:t>
            </w:r>
          </w:p>
        </w:tc>
        <w:tc>
          <w:tcPr>
            <w:tcW w:w="720" w:type="dxa"/>
          </w:tcPr>
          <w:p w14:paraId="0E7B1C39">
            <w:pPr>
              <w:jc w:val="center"/>
            </w:pPr>
            <w:r>
              <w:rPr>
                <w:rFonts w:ascii="Times New Roman" w:hAnsi="Times New Roman"/>
                <w:b w:val="0"/>
                <w:i w:val="0"/>
                <w:sz w:val="16"/>
              </w:rPr>
              <w:t>0</w:t>
            </w:r>
          </w:p>
        </w:tc>
        <w:tc>
          <w:tcPr>
            <w:tcW w:w="720" w:type="dxa"/>
          </w:tcPr>
          <w:p w14:paraId="029CBDD4">
            <w:pPr>
              <w:jc w:val="center"/>
            </w:pPr>
            <w:r>
              <w:rPr>
                <w:rFonts w:ascii="Times New Roman" w:hAnsi="Times New Roman"/>
                <w:b w:val="0"/>
                <w:i w:val="0"/>
                <w:sz w:val="16"/>
              </w:rPr>
              <w:t>0</w:t>
            </w:r>
          </w:p>
        </w:tc>
        <w:tc>
          <w:tcPr>
            <w:tcW w:w="720" w:type="dxa"/>
          </w:tcPr>
          <w:p w14:paraId="4EA47AD2">
            <w:pPr>
              <w:jc w:val="center"/>
            </w:pPr>
            <w:r>
              <w:rPr>
                <w:rFonts w:ascii="Times New Roman" w:hAnsi="Times New Roman"/>
                <w:b w:val="0"/>
                <w:i w:val="0"/>
                <w:sz w:val="16"/>
              </w:rPr>
              <w:t>0</w:t>
            </w:r>
          </w:p>
        </w:tc>
        <w:tc>
          <w:tcPr>
            <w:tcW w:w="720" w:type="dxa"/>
          </w:tcPr>
          <w:p w14:paraId="0BB98431">
            <w:pPr>
              <w:jc w:val="center"/>
            </w:pPr>
            <w:r>
              <w:rPr>
                <w:rFonts w:ascii="Times New Roman" w:hAnsi="Times New Roman"/>
                <w:b w:val="0"/>
                <w:i w:val="0"/>
                <w:sz w:val="16"/>
              </w:rPr>
              <w:t>1</w:t>
            </w:r>
          </w:p>
        </w:tc>
        <w:tc>
          <w:tcPr>
            <w:tcW w:w="720" w:type="dxa"/>
          </w:tcPr>
          <w:p w14:paraId="09A76887">
            <w:pPr>
              <w:jc w:val="center"/>
            </w:pPr>
            <w:r>
              <w:rPr>
                <w:rFonts w:ascii="Times New Roman" w:hAnsi="Times New Roman"/>
                <w:b w:val="0"/>
                <w:i w:val="0"/>
                <w:sz w:val="16"/>
              </w:rPr>
              <w:t>0</w:t>
            </w:r>
          </w:p>
        </w:tc>
        <w:tc>
          <w:tcPr>
            <w:tcW w:w="720" w:type="dxa"/>
          </w:tcPr>
          <w:p w14:paraId="0748DFE5">
            <w:pPr>
              <w:jc w:val="center"/>
            </w:pPr>
            <w:r>
              <w:rPr>
                <w:rFonts w:ascii="Times New Roman" w:hAnsi="Times New Roman"/>
                <w:b w:val="0"/>
                <w:i w:val="0"/>
                <w:sz w:val="16"/>
              </w:rPr>
              <w:t>1</w:t>
            </w:r>
          </w:p>
        </w:tc>
        <w:tc>
          <w:tcPr>
            <w:tcW w:w="720" w:type="dxa"/>
          </w:tcPr>
          <w:p w14:paraId="6B2B7427">
            <w:pPr>
              <w:jc w:val="center"/>
            </w:pPr>
            <w:r>
              <w:rPr>
                <w:rFonts w:ascii="Times New Roman" w:hAnsi="Times New Roman"/>
                <w:b w:val="0"/>
                <w:i w:val="0"/>
                <w:sz w:val="16"/>
              </w:rPr>
              <w:t>0</w:t>
            </w:r>
          </w:p>
        </w:tc>
        <w:tc>
          <w:tcPr>
            <w:tcW w:w="720" w:type="dxa"/>
          </w:tcPr>
          <w:p w14:paraId="53F39376">
            <w:pPr>
              <w:jc w:val="center"/>
            </w:pPr>
            <w:r>
              <w:rPr>
                <w:rFonts w:ascii="Times New Roman" w:hAnsi="Times New Roman"/>
                <w:b w:val="0"/>
                <w:i w:val="0"/>
                <w:sz w:val="16"/>
              </w:rPr>
              <w:t>4</w:t>
            </w:r>
          </w:p>
        </w:tc>
        <w:tc>
          <w:tcPr>
            <w:tcW w:w="720" w:type="dxa"/>
          </w:tcPr>
          <w:p w14:paraId="7DB438DC">
            <w:pPr>
              <w:jc w:val="center"/>
            </w:pPr>
            <w:r>
              <w:rPr>
                <w:rFonts w:ascii="Times New Roman" w:hAnsi="Times New Roman"/>
                <w:b w:val="0"/>
                <w:i w:val="0"/>
                <w:sz w:val="16"/>
              </w:rPr>
              <w:t>Moderate</w:t>
            </w:r>
          </w:p>
        </w:tc>
      </w:tr>
      <w:tr w14:paraId="3F629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68B9E735">
            <w:pPr>
              <w:jc w:val="center"/>
            </w:pPr>
            <w:r>
              <w:rPr>
                <w:rFonts w:ascii="Times New Roman" w:hAnsi="Times New Roman"/>
                <w:b w:val="0"/>
                <w:i w:val="0"/>
                <w:sz w:val="16"/>
              </w:rPr>
              <w:t>Demirelli et al. [100]</w:t>
            </w:r>
          </w:p>
        </w:tc>
        <w:tc>
          <w:tcPr>
            <w:tcW w:w="720" w:type="dxa"/>
          </w:tcPr>
          <w:p w14:paraId="529A81B3">
            <w:pPr>
              <w:jc w:val="center"/>
            </w:pPr>
            <w:r>
              <w:rPr>
                <w:rFonts w:ascii="Times New Roman" w:hAnsi="Times New Roman"/>
                <w:b w:val="0"/>
                <w:i w:val="0"/>
                <w:sz w:val="16"/>
              </w:rPr>
              <w:t>2024</w:t>
            </w:r>
          </w:p>
        </w:tc>
        <w:tc>
          <w:tcPr>
            <w:tcW w:w="720" w:type="dxa"/>
          </w:tcPr>
          <w:p w14:paraId="06B3E6E2">
            <w:pPr>
              <w:jc w:val="center"/>
            </w:pPr>
            <w:r>
              <w:rPr>
                <w:rFonts w:ascii="Times New Roman" w:hAnsi="Times New Roman"/>
                <w:b w:val="0"/>
                <w:i w:val="0"/>
                <w:sz w:val="16"/>
              </w:rPr>
              <w:t>1</w:t>
            </w:r>
          </w:p>
        </w:tc>
        <w:tc>
          <w:tcPr>
            <w:tcW w:w="720" w:type="dxa"/>
          </w:tcPr>
          <w:p w14:paraId="42C92D14">
            <w:pPr>
              <w:jc w:val="center"/>
            </w:pPr>
            <w:r>
              <w:rPr>
                <w:rFonts w:ascii="Times New Roman" w:hAnsi="Times New Roman"/>
                <w:b w:val="0"/>
                <w:i w:val="0"/>
                <w:sz w:val="16"/>
              </w:rPr>
              <w:t>1</w:t>
            </w:r>
          </w:p>
        </w:tc>
        <w:tc>
          <w:tcPr>
            <w:tcW w:w="720" w:type="dxa"/>
          </w:tcPr>
          <w:p w14:paraId="38315539">
            <w:pPr>
              <w:jc w:val="center"/>
            </w:pPr>
            <w:r>
              <w:rPr>
                <w:rFonts w:ascii="Times New Roman" w:hAnsi="Times New Roman"/>
                <w:b w:val="0"/>
                <w:i w:val="0"/>
                <w:sz w:val="16"/>
              </w:rPr>
              <w:t>0</w:t>
            </w:r>
          </w:p>
        </w:tc>
        <w:tc>
          <w:tcPr>
            <w:tcW w:w="720" w:type="dxa"/>
          </w:tcPr>
          <w:p w14:paraId="4BE4A7CB">
            <w:pPr>
              <w:jc w:val="center"/>
            </w:pPr>
            <w:r>
              <w:rPr>
                <w:rFonts w:ascii="Times New Roman" w:hAnsi="Times New Roman"/>
                <w:b w:val="0"/>
                <w:i w:val="0"/>
                <w:sz w:val="16"/>
              </w:rPr>
              <w:t>1</w:t>
            </w:r>
          </w:p>
        </w:tc>
        <w:tc>
          <w:tcPr>
            <w:tcW w:w="720" w:type="dxa"/>
          </w:tcPr>
          <w:p w14:paraId="5F977DCE">
            <w:pPr>
              <w:jc w:val="center"/>
            </w:pPr>
            <w:r>
              <w:rPr>
                <w:rFonts w:ascii="Times New Roman" w:hAnsi="Times New Roman"/>
                <w:b w:val="0"/>
                <w:i w:val="0"/>
                <w:sz w:val="16"/>
              </w:rPr>
              <w:t>0</w:t>
            </w:r>
          </w:p>
        </w:tc>
        <w:tc>
          <w:tcPr>
            <w:tcW w:w="720" w:type="dxa"/>
          </w:tcPr>
          <w:p w14:paraId="0449C444">
            <w:pPr>
              <w:jc w:val="center"/>
            </w:pPr>
            <w:r>
              <w:rPr>
                <w:rFonts w:ascii="Times New Roman" w:hAnsi="Times New Roman"/>
                <w:b w:val="0"/>
                <w:i w:val="0"/>
                <w:sz w:val="16"/>
              </w:rPr>
              <w:t>1</w:t>
            </w:r>
          </w:p>
        </w:tc>
        <w:tc>
          <w:tcPr>
            <w:tcW w:w="720" w:type="dxa"/>
          </w:tcPr>
          <w:p w14:paraId="459FD319">
            <w:pPr>
              <w:jc w:val="center"/>
            </w:pPr>
            <w:r>
              <w:rPr>
                <w:rFonts w:ascii="Times New Roman" w:hAnsi="Times New Roman"/>
                <w:b w:val="0"/>
                <w:i w:val="0"/>
                <w:sz w:val="16"/>
              </w:rPr>
              <w:t>0</w:t>
            </w:r>
          </w:p>
        </w:tc>
        <w:tc>
          <w:tcPr>
            <w:tcW w:w="720" w:type="dxa"/>
          </w:tcPr>
          <w:p w14:paraId="27FFD423">
            <w:pPr>
              <w:jc w:val="center"/>
            </w:pPr>
            <w:r>
              <w:rPr>
                <w:rFonts w:ascii="Times New Roman" w:hAnsi="Times New Roman"/>
                <w:b w:val="0"/>
                <w:i w:val="0"/>
                <w:sz w:val="16"/>
              </w:rPr>
              <w:t>1</w:t>
            </w:r>
          </w:p>
        </w:tc>
        <w:tc>
          <w:tcPr>
            <w:tcW w:w="720" w:type="dxa"/>
          </w:tcPr>
          <w:p w14:paraId="785F5049">
            <w:pPr>
              <w:jc w:val="center"/>
            </w:pPr>
            <w:r>
              <w:rPr>
                <w:rFonts w:ascii="Times New Roman" w:hAnsi="Times New Roman"/>
                <w:b w:val="0"/>
                <w:i w:val="0"/>
                <w:sz w:val="16"/>
              </w:rPr>
              <w:t>0</w:t>
            </w:r>
          </w:p>
        </w:tc>
        <w:tc>
          <w:tcPr>
            <w:tcW w:w="720" w:type="dxa"/>
          </w:tcPr>
          <w:p w14:paraId="2BB3EABA">
            <w:pPr>
              <w:jc w:val="center"/>
            </w:pPr>
            <w:r>
              <w:rPr>
                <w:rFonts w:ascii="Times New Roman" w:hAnsi="Times New Roman"/>
                <w:b w:val="0"/>
                <w:i w:val="0"/>
                <w:sz w:val="16"/>
              </w:rPr>
              <w:t>5</w:t>
            </w:r>
          </w:p>
        </w:tc>
        <w:tc>
          <w:tcPr>
            <w:tcW w:w="720" w:type="dxa"/>
          </w:tcPr>
          <w:p w14:paraId="64356B30">
            <w:pPr>
              <w:jc w:val="center"/>
            </w:pPr>
            <w:r>
              <w:rPr>
                <w:rFonts w:ascii="Times New Roman" w:hAnsi="Times New Roman"/>
                <w:b w:val="0"/>
                <w:i w:val="0"/>
                <w:sz w:val="16"/>
              </w:rPr>
              <w:t>Moderate</w:t>
            </w:r>
          </w:p>
        </w:tc>
      </w:tr>
      <w:tr w14:paraId="2EEE9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6BE1FCB1">
            <w:pPr>
              <w:jc w:val="center"/>
            </w:pPr>
            <w:r>
              <w:rPr>
                <w:rFonts w:ascii="Times New Roman" w:hAnsi="Times New Roman"/>
                <w:b w:val="0"/>
                <w:i w:val="0"/>
                <w:sz w:val="16"/>
              </w:rPr>
              <w:t>Saraluck et al. [81]</w:t>
            </w:r>
          </w:p>
        </w:tc>
        <w:tc>
          <w:tcPr>
            <w:tcW w:w="720" w:type="dxa"/>
          </w:tcPr>
          <w:p w14:paraId="248F0222">
            <w:pPr>
              <w:jc w:val="center"/>
            </w:pPr>
            <w:r>
              <w:rPr>
                <w:rFonts w:ascii="Times New Roman" w:hAnsi="Times New Roman"/>
                <w:b w:val="0"/>
                <w:i w:val="0"/>
                <w:sz w:val="16"/>
              </w:rPr>
              <w:t>2024</w:t>
            </w:r>
          </w:p>
        </w:tc>
        <w:tc>
          <w:tcPr>
            <w:tcW w:w="720" w:type="dxa"/>
          </w:tcPr>
          <w:p w14:paraId="1E863B8A">
            <w:pPr>
              <w:jc w:val="center"/>
            </w:pPr>
            <w:r>
              <w:rPr>
                <w:rFonts w:ascii="Times New Roman" w:hAnsi="Times New Roman"/>
                <w:b w:val="0"/>
                <w:i w:val="0"/>
                <w:sz w:val="16"/>
              </w:rPr>
              <w:t>0</w:t>
            </w:r>
          </w:p>
        </w:tc>
        <w:tc>
          <w:tcPr>
            <w:tcW w:w="720" w:type="dxa"/>
          </w:tcPr>
          <w:p w14:paraId="749982AD">
            <w:pPr>
              <w:jc w:val="center"/>
            </w:pPr>
            <w:r>
              <w:rPr>
                <w:rFonts w:ascii="Times New Roman" w:hAnsi="Times New Roman"/>
                <w:b w:val="0"/>
                <w:i w:val="0"/>
                <w:sz w:val="16"/>
              </w:rPr>
              <w:t>1</w:t>
            </w:r>
          </w:p>
        </w:tc>
        <w:tc>
          <w:tcPr>
            <w:tcW w:w="720" w:type="dxa"/>
          </w:tcPr>
          <w:p w14:paraId="5642D1A6">
            <w:pPr>
              <w:jc w:val="center"/>
            </w:pPr>
            <w:r>
              <w:rPr>
                <w:rFonts w:ascii="Times New Roman" w:hAnsi="Times New Roman"/>
                <w:b w:val="0"/>
                <w:i w:val="0"/>
                <w:sz w:val="16"/>
              </w:rPr>
              <w:t>1</w:t>
            </w:r>
          </w:p>
        </w:tc>
        <w:tc>
          <w:tcPr>
            <w:tcW w:w="720" w:type="dxa"/>
          </w:tcPr>
          <w:p w14:paraId="4C2C1086">
            <w:pPr>
              <w:jc w:val="center"/>
            </w:pPr>
            <w:r>
              <w:rPr>
                <w:rFonts w:ascii="Times New Roman" w:hAnsi="Times New Roman"/>
                <w:b w:val="0"/>
                <w:i w:val="0"/>
                <w:sz w:val="16"/>
              </w:rPr>
              <w:t>0</w:t>
            </w:r>
          </w:p>
        </w:tc>
        <w:tc>
          <w:tcPr>
            <w:tcW w:w="720" w:type="dxa"/>
          </w:tcPr>
          <w:p w14:paraId="7838776B">
            <w:pPr>
              <w:jc w:val="center"/>
            </w:pPr>
            <w:r>
              <w:rPr>
                <w:rFonts w:ascii="Times New Roman" w:hAnsi="Times New Roman"/>
                <w:b w:val="0"/>
                <w:i w:val="0"/>
                <w:sz w:val="16"/>
              </w:rPr>
              <w:t>0</w:t>
            </w:r>
          </w:p>
        </w:tc>
        <w:tc>
          <w:tcPr>
            <w:tcW w:w="720" w:type="dxa"/>
          </w:tcPr>
          <w:p w14:paraId="3EE3B511">
            <w:pPr>
              <w:jc w:val="center"/>
            </w:pPr>
            <w:r>
              <w:rPr>
                <w:rFonts w:ascii="Times New Roman" w:hAnsi="Times New Roman"/>
                <w:b w:val="0"/>
                <w:i w:val="0"/>
                <w:sz w:val="16"/>
              </w:rPr>
              <w:t>1</w:t>
            </w:r>
          </w:p>
        </w:tc>
        <w:tc>
          <w:tcPr>
            <w:tcW w:w="720" w:type="dxa"/>
          </w:tcPr>
          <w:p w14:paraId="20488579">
            <w:pPr>
              <w:jc w:val="center"/>
            </w:pPr>
            <w:r>
              <w:rPr>
                <w:rFonts w:ascii="Times New Roman" w:hAnsi="Times New Roman"/>
                <w:b w:val="0"/>
                <w:i w:val="0"/>
                <w:sz w:val="16"/>
              </w:rPr>
              <w:t>0</w:t>
            </w:r>
          </w:p>
        </w:tc>
        <w:tc>
          <w:tcPr>
            <w:tcW w:w="720" w:type="dxa"/>
          </w:tcPr>
          <w:p w14:paraId="64A1BD3A">
            <w:pPr>
              <w:jc w:val="center"/>
            </w:pPr>
            <w:r>
              <w:rPr>
                <w:rFonts w:ascii="Times New Roman" w:hAnsi="Times New Roman"/>
                <w:b w:val="0"/>
                <w:i w:val="0"/>
                <w:sz w:val="16"/>
              </w:rPr>
              <w:t>1</w:t>
            </w:r>
          </w:p>
        </w:tc>
        <w:tc>
          <w:tcPr>
            <w:tcW w:w="720" w:type="dxa"/>
          </w:tcPr>
          <w:p w14:paraId="31ED2A56">
            <w:pPr>
              <w:jc w:val="center"/>
            </w:pPr>
            <w:r>
              <w:rPr>
                <w:rFonts w:ascii="Times New Roman" w:hAnsi="Times New Roman"/>
                <w:b w:val="0"/>
                <w:i w:val="0"/>
                <w:sz w:val="16"/>
              </w:rPr>
              <w:t>0</w:t>
            </w:r>
          </w:p>
        </w:tc>
        <w:tc>
          <w:tcPr>
            <w:tcW w:w="720" w:type="dxa"/>
          </w:tcPr>
          <w:p w14:paraId="7B076A5F">
            <w:pPr>
              <w:jc w:val="center"/>
            </w:pPr>
            <w:r>
              <w:rPr>
                <w:rFonts w:ascii="Times New Roman" w:hAnsi="Times New Roman"/>
                <w:b w:val="0"/>
                <w:i w:val="0"/>
                <w:sz w:val="16"/>
              </w:rPr>
              <w:t>4</w:t>
            </w:r>
          </w:p>
        </w:tc>
        <w:tc>
          <w:tcPr>
            <w:tcW w:w="720" w:type="dxa"/>
          </w:tcPr>
          <w:p w14:paraId="7350AD2A">
            <w:pPr>
              <w:jc w:val="center"/>
            </w:pPr>
            <w:r>
              <w:rPr>
                <w:rFonts w:ascii="Times New Roman" w:hAnsi="Times New Roman"/>
                <w:b w:val="0"/>
                <w:i w:val="0"/>
                <w:sz w:val="16"/>
              </w:rPr>
              <w:t>Moderate</w:t>
            </w:r>
          </w:p>
        </w:tc>
      </w:tr>
      <w:tr w14:paraId="40469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1BF26E0B">
            <w:pPr>
              <w:jc w:val="center"/>
            </w:pPr>
            <w:r>
              <w:rPr>
                <w:rFonts w:ascii="Times New Roman" w:hAnsi="Times New Roman"/>
                <w:b w:val="0"/>
                <w:i w:val="0"/>
                <w:sz w:val="16"/>
              </w:rPr>
              <w:t>Özgen Alpaydin et al. [95]</w:t>
            </w:r>
          </w:p>
        </w:tc>
        <w:tc>
          <w:tcPr>
            <w:tcW w:w="720" w:type="dxa"/>
          </w:tcPr>
          <w:p w14:paraId="685BDD4A">
            <w:pPr>
              <w:jc w:val="center"/>
            </w:pPr>
            <w:r>
              <w:rPr>
                <w:rFonts w:ascii="Times New Roman" w:hAnsi="Times New Roman"/>
                <w:b w:val="0"/>
                <w:i w:val="0"/>
                <w:sz w:val="16"/>
              </w:rPr>
              <w:t>2024</w:t>
            </w:r>
          </w:p>
        </w:tc>
        <w:tc>
          <w:tcPr>
            <w:tcW w:w="720" w:type="dxa"/>
          </w:tcPr>
          <w:p w14:paraId="54FB2763">
            <w:pPr>
              <w:jc w:val="center"/>
            </w:pPr>
            <w:r>
              <w:rPr>
                <w:rFonts w:ascii="Times New Roman" w:hAnsi="Times New Roman"/>
                <w:b w:val="0"/>
                <w:i w:val="0"/>
                <w:sz w:val="16"/>
              </w:rPr>
              <w:t>0</w:t>
            </w:r>
          </w:p>
        </w:tc>
        <w:tc>
          <w:tcPr>
            <w:tcW w:w="720" w:type="dxa"/>
          </w:tcPr>
          <w:p w14:paraId="1247B5B4">
            <w:pPr>
              <w:jc w:val="center"/>
            </w:pPr>
            <w:r>
              <w:rPr>
                <w:rFonts w:ascii="Times New Roman" w:hAnsi="Times New Roman"/>
                <w:b w:val="0"/>
                <w:i w:val="0"/>
                <w:sz w:val="16"/>
              </w:rPr>
              <w:t>0</w:t>
            </w:r>
          </w:p>
        </w:tc>
        <w:tc>
          <w:tcPr>
            <w:tcW w:w="720" w:type="dxa"/>
          </w:tcPr>
          <w:p w14:paraId="600F8B8C">
            <w:pPr>
              <w:jc w:val="center"/>
            </w:pPr>
            <w:r>
              <w:rPr>
                <w:rFonts w:ascii="Times New Roman" w:hAnsi="Times New Roman"/>
                <w:b w:val="0"/>
                <w:i w:val="0"/>
                <w:sz w:val="16"/>
              </w:rPr>
              <w:t>0</w:t>
            </w:r>
          </w:p>
        </w:tc>
        <w:tc>
          <w:tcPr>
            <w:tcW w:w="720" w:type="dxa"/>
          </w:tcPr>
          <w:p w14:paraId="5A3E1A08">
            <w:pPr>
              <w:jc w:val="center"/>
            </w:pPr>
            <w:r>
              <w:rPr>
                <w:rFonts w:ascii="Times New Roman" w:hAnsi="Times New Roman"/>
                <w:b w:val="0"/>
                <w:i w:val="0"/>
                <w:sz w:val="16"/>
              </w:rPr>
              <w:t>0</w:t>
            </w:r>
          </w:p>
        </w:tc>
        <w:tc>
          <w:tcPr>
            <w:tcW w:w="720" w:type="dxa"/>
          </w:tcPr>
          <w:p w14:paraId="4B78FB29">
            <w:pPr>
              <w:jc w:val="center"/>
            </w:pPr>
            <w:r>
              <w:rPr>
                <w:rFonts w:ascii="Times New Roman" w:hAnsi="Times New Roman"/>
                <w:b w:val="0"/>
                <w:i w:val="0"/>
                <w:sz w:val="16"/>
              </w:rPr>
              <w:t>0</w:t>
            </w:r>
          </w:p>
        </w:tc>
        <w:tc>
          <w:tcPr>
            <w:tcW w:w="720" w:type="dxa"/>
          </w:tcPr>
          <w:p w14:paraId="495E9EBE">
            <w:pPr>
              <w:jc w:val="center"/>
            </w:pPr>
            <w:r>
              <w:rPr>
                <w:rFonts w:ascii="Times New Roman" w:hAnsi="Times New Roman"/>
                <w:b w:val="0"/>
                <w:i w:val="0"/>
                <w:sz w:val="16"/>
              </w:rPr>
              <w:t>0</w:t>
            </w:r>
          </w:p>
        </w:tc>
        <w:tc>
          <w:tcPr>
            <w:tcW w:w="720" w:type="dxa"/>
          </w:tcPr>
          <w:p w14:paraId="068CD3A9">
            <w:pPr>
              <w:jc w:val="center"/>
            </w:pPr>
            <w:r>
              <w:rPr>
                <w:rFonts w:ascii="Times New Roman" w:hAnsi="Times New Roman"/>
                <w:b w:val="0"/>
                <w:i w:val="0"/>
                <w:sz w:val="16"/>
              </w:rPr>
              <w:t>0</w:t>
            </w:r>
          </w:p>
        </w:tc>
        <w:tc>
          <w:tcPr>
            <w:tcW w:w="720" w:type="dxa"/>
          </w:tcPr>
          <w:p w14:paraId="0C9294EA">
            <w:pPr>
              <w:jc w:val="center"/>
            </w:pPr>
            <w:r>
              <w:rPr>
                <w:rFonts w:ascii="Times New Roman" w:hAnsi="Times New Roman"/>
                <w:b w:val="0"/>
                <w:i w:val="0"/>
                <w:sz w:val="16"/>
              </w:rPr>
              <w:t>0</w:t>
            </w:r>
          </w:p>
        </w:tc>
        <w:tc>
          <w:tcPr>
            <w:tcW w:w="720" w:type="dxa"/>
          </w:tcPr>
          <w:p w14:paraId="05BE5216">
            <w:pPr>
              <w:jc w:val="center"/>
            </w:pPr>
            <w:r>
              <w:rPr>
                <w:rFonts w:ascii="Times New Roman" w:hAnsi="Times New Roman"/>
                <w:b w:val="0"/>
                <w:i w:val="0"/>
                <w:sz w:val="16"/>
              </w:rPr>
              <w:t>0</w:t>
            </w:r>
          </w:p>
        </w:tc>
        <w:tc>
          <w:tcPr>
            <w:tcW w:w="720" w:type="dxa"/>
          </w:tcPr>
          <w:p w14:paraId="41D0F580">
            <w:pPr>
              <w:jc w:val="center"/>
            </w:pPr>
            <w:r>
              <w:rPr>
                <w:rFonts w:ascii="Times New Roman" w:hAnsi="Times New Roman"/>
                <w:b w:val="0"/>
                <w:i w:val="0"/>
                <w:sz w:val="16"/>
              </w:rPr>
              <w:t>0</w:t>
            </w:r>
          </w:p>
        </w:tc>
        <w:tc>
          <w:tcPr>
            <w:tcW w:w="720" w:type="dxa"/>
          </w:tcPr>
          <w:p w14:paraId="3C564AA3">
            <w:pPr>
              <w:jc w:val="center"/>
            </w:pPr>
            <w:r>
              <w:rPr>
                <w:rFonts w:ascii="Times New Roman" w:hAnsi="Times New Roman"/>
                <w:b w:val="0"/>
                <w:i w:val="0"/>
                <w:sz w:val="16"/>
              </w:rPr>
              <w:t>Low</w:t>
            </w:r>
          </w:p>
        </w:tc>
      </w:tr>
      <w:tr w14:paraId="205B3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367C061B">
            <w:pPr>
              <w:jc w:val="center"/>
            </w:pPr>
            <w:r>
              <w:rPr>
                <w:rFonts w:ascii="Times New Roman" w:hAnsi="Times New Roman"/>
                <w:b w:val="0"/>
                <w:i w:val="0"/>
                <w:sz w:val="16"/>
              </w:rPr>
              <w:t>Halfar et al. [63]</w:t>
            </w:r>
          </w:p>
        </w:tc>
        <w:tc>
          <w:tcPr>
            <w:tcW w:w="720" w:type="dxa"/>
          </w:tcPr>
          <w:p w14:paraId="3761FCD8">
            <w:pPr>
              <w:jc w:val="center"/>
            </w:pPr>
            <w:r>
              <w:rPr>
                <w:rFonts w:ascii="Times New Roman" w:hAnsi="Times New Roman"/>
                <w:b w:val="0"/>
                <w:i w:val="0"/>
                <w:sz w:val="16"/>
              </w:rPr>
              <w:t>2023</w:t>
            </w:r>
          </w:p>
        </w:tc>
        <w:tc>
          <w:tcPr>
            <w:tcW w:w="720" w:type="dxa"/>
          </w:tcPr>
          <w:p w14:paraId="788C6C00">
            <w:pPr>
              <w:jc w:val="center"/>
            </w:pPr>
            <w:r>
              <w:rPr>
                <w:rFonts w:ascii="Times New Roman" w:hAnsi="Times New Roman"/>
                <w:b w:val="0"/>
                <w:i w:val="0"/>
                <w:sz w:val="16"/>
              </w:rPr>
              <w:t>0</w:t>
            </w:r>
          </w:p>
        </w:tc>
        <w:tc>
          <w:tcPr>
            <w:tcW w:w="720" w:type="dxa"/>
          </w:tcPr>
          <w:p w14:paraId="3948CBAC">
            <w:pPr>
              <w:jc w:val="center"/>
            </w:pPr>
            <w:r>
              <w:rPr>
                <w:rFonts w:ascii="Times New Roman" w:hAnsi="Times New Roman"/>
                <w:b w:val="0"/>
                <w:i w:val="0"/>
                <w:sz w:val="16"/>
              </w:rPr>
              <w:t>0</w:t>
            </w:r>
          </w:p>
        </w:tc>
        <w:tc>
          <w:tcPr>
            <w:tcW w:w="720" w:type="dxa"/>
          </w:tcPr>
          <w:p w14:paraId="581B8FE2">
            <w:pPr>
              <w:jc w:val="center"/>
            </w:pPr>
            <w:r>
              <w:rPr>
                <w:rFonts w:ascii="Times New Roman" w:hAnsi="Times New Roman"/>
                <w:b w:val="0"/>
                <w:i w:val="0"/>
                <w:sz w:val="16"/>
              </w:rPr>
              <w:t>0</w:t>
            </w:r>
          </w:p>
        </w:tc>
        <w:tc>
          <w:tcPr>
            <w:tcW w:w="720" w:type="dxa"/>
          </w:tcPr>
          <w:p w14:paraId="73BA65BD">
            <w:pPr>
              <w:jc w:val="center"/>
            </w:pPr>
            <w:r>
              <w:rPr>
                <w:rFonts w:ascii="Times New Roman" w:hAnsi="Times New Roman"/>
                <w:b w:val="0"/>
                <w:i w:val="0"/>
                <w:sz w:val="16"/>
              </w:rPr>
              <w:t>0</w:t>
            </w:r>
          </w:p>
        </w:tc>
        <w:tc>
          <w:tcPr>
            <w:tcW w:w="720" w:type="dxa"/>
          </w:tcPr>
          <w:p w14:paraId="14AF603C">
            <w:pPr>
              <w:jc w:val="center"/>
            </w:pPr>
            <w:r>
              <w:rPr>
                <w:rFonts w:ascii="Times New Roman" w:hAnsi="Times New Roman"/>
                <w:b w:val="0"/>
                <w:i w:val="0"/>
                <w:sz w:val="16"/>
              </w:rPr>
              <w:t>0</w:t>
            </w:r>
          </w:p>
        </w:tc>
        <w:tc>
          <w:tcPr>
            <w:tcW w:w="720" w:type="dxa"/>
          </w:tcPr>
          <w:p w14:paraId="684F5298">
            <w:pPr>
              <w:jc w:val="center"/>
            </w:pPr>
            <w:r>
              <w:rPr>
                <w:rFonts w:ascii="Times New Roman" w:hAnsi="Times New Roman"/>
                <w:b w:val="0"/>
                <w:i w:val="0"/>
                <w:sz w:val="16"/>
              </w:rPr>
              <w:t>0</w:t>
            </w:r>
          </w:p>
        </w:tc>
        <w:tc>
          <w:tcPr>
            <w:tcW w:w="720" w:type="dxa"/>
          </w:tcPr>
          <w:p w14:paraId="5713B018">
            <w:pPr>
              <w:jc w:val="center"/>
            </w:pPr>
            <w:r>
              <w:rPr>
                <w:rFonts w:ascii="Times New Roman" w:hAnsi="Times New Roman"/>
                <w:b w:val="0"/>
                <w:i w:val="0"/>
                <w:sz w:val="16"/>
              </w:rPr>
              <w:t>0</w:t>
            </w:r>
          </w:p>
        </w:tc>
        <w:tc>
          <w:tcPr>
            <w:tcW w:w="720" w:type="dxa"/>
          </w:tcPr>
          <w:p w14:paraId="37D1A2D1">
            <w:pPr>
              <w:jc w:val="center"/>
            </w:pPr>
            <w:r>
              <w:rPr>
                <w:rFonts w:ascii="Times New Roman" w:hAnsi="Times New Roman"/>
                <w:b w:val="0"/>
                <w:i w:val="0"/>
                <w:sz w:val="16"/>
              </w:rPr>
              <w:t>0</w:t>
            </w:r>
          </w:p>
        </w:tc>
        <w:tc>
          <w:tcPr>
            <w:tcW w:w="720" w:type="dxa"/>
          </w:tcPr>
          <w:p w14:paraId="1F7DEFC7">
            <w:pPr>
              <w:jc w:val="center"/>
            </w:pPr>
            <w:r>
              <w:rPr>
                <w:rFonts w:ascii="Times New Roman" w:hAnsi="Times New Roman"/>
                <w:b w:val="0"/>
                <w:i w:val="0"/>
                <w:sz w:val="16"/>
              </w:rPr>
              <w:t>0</w:t>
            </w:r>
          </w:p>
        </w:tc>
        <w:tc>
          <w:tcPr>
            <w:tcW w:w="720" w:type="dxa"/>
          </w:tcPr>
          <w:p w14:paraId="7A2D27CB">
            <w:pPr>
              <w:jc w:val="center"/>
            </w:pPr>
            <w:r>
              <w:rPr>
                <w:rFonts w:ascii="Times New Roman" w:hAnsi="Times New Roman"/>
                <w:b w:val="0"/>
                <w:i w:val="0"/>
                <w:sz w:val="16"/>
              </w:rPr>
              <w:t>0</w:t>
            </w:r>
          </w:p>
        </w:tc>
        <w:tc>
          <w:tcPr>
            <w:tcW w:w="720" w:type="dxa"/>
          </w:tcPr>
          <w:p w14:paraId="3E3B0AD1">
            <w:pPr>
              <w:jc w:val="center"/>
            </w:pPr>
            <w:r>
              <w:rPr>
                <w:rFonts w:ascii="Times New Roman" w:hAnsi="Times New Roman"/>
                <w:b w:val="0"/>
                <w:i w:val="0"/>
                <w:sz w:val="16"/>
              </w:rPr>
              <w:t>Low</w:t>
            </w:r>
          </w:p>
        </w:tc>
      </w:tr>
      <w:tr w14:paraId="428E5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6BD938AB">
            <w:pPr>
              <w:jc w:val="center"/>
            </w:pPr>
            <w:r>
              <w:rPr>
                <w:rFonts w:ascii="Times New Roman" w:hAnsi="Times New Roman"/>
                <w:b w:val="0"/>
                <w:i w:val="0"/>
                <w:sz w:val="16"/>
              </w:rPr>
              <w:t>Qu et al. [101]</w:t>
            </w:r>
          </w:p>
        </w:tc>
        <w:tc>
          <w:tcPr>
            <w:tcW w:w="720" w:type="dxa"/>
          </w:tcPr>
          <w:p w14:paraId="7EE68C64">
            <w:pPr>
              <w:jc w:val="center"/>
            </w:pPr>
            <w:r>
              <w:rPr>
                <w:rFonts w:ascii="Times New Roman" w:hAnsi="Times New Roman"/>
                <w:b w:val="0"/>
                <w:i w:val="0"/>
                <w:sz w:val="16"/>
              </w:rPr>
              <w:t>2025</w:t>
            </w:r>
          </w:p>
        </w:tc>
        <w:tc>
          <w:tcPr>
            <w:tcW w:w="720" w:type="dxa"/>
          </w:tcPr>
          <w:p w14:paraId="2DC43427">
            <w:pPr>
              <w:jc w:val="center"/>
            </w:pPr>
            <w:r>
              <w:rPr>
                <w:rFonts w:ascii="Times New Roman" w:hAnsi="Times New Roman"/>
                <w:b w:val="0"/>
                <w:i w:val="0"/>
                <w:sz w:val="16"/>
              </w:rPr>
              <w:t>1</w:t>
            </w:r>
          </w:p>
        </w:tc>
        <w:tc>
          <w:tcPr>
            <w:tcW w:w="720" w:type="dxa"/>
          </w:tcPr>
          <w:p w14:paraId="7C84ABEB">
            <w:pPr>
              <w:jc w:val="center"/>
            </w:pPr>
            <w:r>
              <w:rPr>
                <w:rFonts w:ascii="Times New Roman" w:hAnsi="Times New Roman"/>
                <w:b w:val="0"/>
                <w:i w:val="0"/>
                <w:sz w:val="16"/>
              </w:rPr>
              <w:t>1</w:t>
            </w:r>
          </w:p>
        </w:tc>
        <w:tc>
          <w:tcPr>
            <w:tcW w:w="720" w:type="dxa"/>
          </w:tcPr>
          <w:p w14:paraId="488021AD">
            <w:pPr>
              <w:jc w:val="center"/>
            </w:pPr>
            <w:r>
              <w:rPr>
                <w:rFonts w:ascii="Times New Roman" w:hAnsi="Times New Roman"/>
                <w:b w:val="0"/>
                <w:i w:val="0"/>
                <w:sz w:val="16"/>
              </w:rPr>
              <w:t>0</w:t>
            </w:r>
          </w:p>
        </w:tc>
        <w:tc>
          <w:tcPr>
            <w:tcW w:w="720" w:type="dxa"/>
          </w:tcPr>
          <w:p w14:paraId="5BE1A453">
            <w:pPr>
              <w:jc w:val="center"/>
            </w:pPr>
            <w:r>
              <w:rPr>
                <w:rFonts w:ascii="Times New Roman" w:hAnsi="Times New Roman"/>
                <w:b w:val="0"/>
                <w:i w:val="0"/>
                <w:sz w:val="16"/>
              </w:rPr>
              <w:t>1</w:t>
            </w:r>
          </w:p>
        </w:tc>
        <w:tc>
          <w:tcPr>
            <w:tcW w:w="720" w:type="dxa"/>
          </w:tcPr>
          <w:p w14:paraId="2EBBC83E">
            <w:pPr>
              <w:jc w:val="center"/>
            </w:pPr>
            <w:r>
              <w:rPr>
                <w:rFonts w:ascii="Times New Roman" w:hAnsi="Times New Roman"/>
                <w:b w:val="0"/>
                <w:i w:val="0"/>
                <w:sz w:val="16"/>
              </w:rPr>
              <w:t>1</w:t>
            </w:r>
          </w:p>
        </w:tc>
        <w:tc>
          <w:tcPr>
            <w:tcW w:w="720" w:type="dxa"/>
          </w:tcPr>
          <w:p w14:paraId="17571DD2">
            <w:pPr>
              <w:jc w:val="center"/>
            </w:pPr>
            <w:r>
              <w:rPr>
                <w:rFonts w:ascii="Times New Roman" w:hAnsi="Times New Roman"/>
                <w:b w:val="0"/>
                <w:i w:val="0"/>
                <w:sz w:val="16"/>
              </w:rPr>
              <w:t>1</w:t>
            </w:r>
          </w:p>
        </w:tc>
        <w:tc>
          <w:tcPr>
            <w:tcW w:w="720" w:type="dxa"/>
          </w:tcPr>
          <w:p w14:paraId="68B0EC12">
            <w:pPr>
              <w:jc w:val="center"/>
            </w:pPr>
            <w:r>
              <w:rPr>
                <w:rFonts w:ascii="Times New Roman" w:hAnsi="Times New Roman"/>
                <w:b w:val="0"/>
                <w:i w:val="0"/>
                <w:sz w:val="16"/>
              </w:rPr>
              <w:t>0</w:t>
            </w:r>
          </w:p>
        </w:tc>
        <w:tc>
          <w:tcPr>
            <w:tcW w:w="720" w:type="dxa"/>
          </w:tcPr>
          <w:p w14:paraId="039CCF2E">
            <w:pPr>
              <w:jc w:val="center"/>
            </w:pPr>
            <w:r>
              <w:rPr>
                <w:rFonts w:ascii="Times New Roman" w:hAnsi="Times New Roman"/>
                <w:b w:val="0"/>
                <w:i w:val="0"/>
                <w:sz w:val="16"/>
              </w:rPr>
              <w:t>1</w:t>
            </w:r>
          </w:p>
        </w:tc>
        <w:tc>
          <w:tcPr>
            <w:tcW w:w="720" w:type="dxa"/>
          </w:tcPr>
          <w:p w14:paraId="0153BA9F">
            <w:pPr>
              <w:jc w:val="center"/>
            </w:pPr>
            <w:r>
              <w:rPr>
                <w:rFonts w:ascii="Times New Roman" w:hAnsi="Times New Roman"/>
                <w:b w:val="0"/>
                <w:i w:val="0"/>
                <w:sz w:val="16"/>
              </w:rPr>
              <w:t>0</w:t>
            </w:r>
          </w:p>
        </w:tc>
        <w:tc>
          <w:tcPr>
            <w:tcW w:w="720" w:type="dxa"/>
          </w:tcPr>
          <w:p w14:paraId="73208F65">
            <w:pPr>
              <w:jc w:val="center"/>
            </w:pPr>
            <w:r>
              <w:rPr>
                <w:rFonts w:ascii="Times New Roman" w:hAnsi="Times New Roman"/>
                <w:b w:val="0"/>
                <w:i w:val="0"/>
                <w:sz w:val="16"/>
              </w:rPr>
              <w:t>6</w:t>
            </w:r>
          </w:p>
        </w:tc>
        <w:tc>
          <w:tcPr>
            <w:tcW w:w="720" w:type="dxa"/>
          </w:tcPr>
          <w:p w14:paraId="77FCC2C3">
            <w:pPr>
              <w:jc w:val="center"/>
            </w:pPr>
            <w:r>
              <w:rPr>
                <w:rFonts w:ascii="Times New Roman" w:hAnsi="Times New Roman"/>
                <w:b w:val="0"/>
                <w:i w:val="0"/>
                <w:sz w:val="16"/>
              </w:rPr>
              <w:t>Moderate</w:t>
            </w:r>
          </w:p>
        </w:tc>
      </w:tr>
      <w:tr w14:paraId="677FB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37E28DBE">
            <w:pPr>
              <w:jc w:val="center"/>
            </w:pPr>
            <w:r>
              <w:rPr>
                <w:rFonts w:ascii="Times New Roman" w:hAnsi="Times New Roman"/>
                <w:b w:val="0"/>
                <w:i w:val="0"/>
                <w:sz w:val="16"/>
              </w:rPr>
              <w:t>Padarya et al. [94]</w:t>
            </w:r>
          </w:p>
        </w:tc>
        <w:tc>
          <w:tcPr>
            <w:tcW w:w="720" w:type="dxa"/>
          </w:tcPr>
          <w:p w14:paraId="764486F2">
            <w:pPr>
              <w:jc w:val="center"/>
            </w:pPr>
            <w:r>
              <w:rPr>
                <w:rFonts w:ascii="Times New Roman" w:hAnsi="Times New Roman"/>
                <w:b w:val="0"/>
                <w:i w:val="0"/>
                <w:sz w:val="16"/>
              </w:rPr>
              <w:t>2025</w:t>
            </w:r>
          </w:p>
        </w:tc>
        <w:tc>
          <w:tcPr>
            <w:tcW w:w="720" w:type="dxa"/>
          </w:tcPr>
          <w:p w14:paraId="6E58DAB1">
            <w:pPr>
              <w:jc w:val="center"/>
            </w:pPr>
            <w:r>
              <w:rPr>
                <w:rFonts w:ascii="Times New Roman" w:hAnsi="Times New Roman"/>
                <w:b w:val="0"/>
                <w:i w:val="0"/>
                <w:sz w:val="16"/>
              </w:rPr>
              <w:t>0</w:t>
            </w:r>
          </w:p>
        </w:tc>
        <w:tc>
          <w:tcPr>
            <w:tcW w:w="720" w:type="dxa"/>
          </w:tcPr>
          <w:p w14:paraId="0DB2FFE3">
            <w:pPr>
              <w:jc w:val="center"/>
            </w:pPr>
            <w:r>
              <w:rPr>
                <w:rFonts w:ascii="Times New Roman" w:hAnsi="Times New Roman"/>
                <w:b w:val="0"/>
                <w:i w:val="0"/>
                <w:sz w:val="16"/>
              </w:rPr>
              <w:t>1</w:t>
            </w:r>
          </w:p>
        </w:tc>
        <w:tc>
          <w:tcPr>
            <w:tcW w:w="720" w:type="dxa"/>
          </w:tcPr>
          <w:p w14:paraId="2054A646">
            <w:pPr>
              <w:jc w:val="center"/>
            </w:pPr>
            <w:r>
              <w:rPr>
                <w:rFonts w:ascii="Times New Roman" w:hAnsi="Times New Roman"/>
                <w:b w:val="0"/>
                <w:i w:val="0"/>
                <w:sz w:val="16"/>
              </w:rPr>
              <w:t>0</w:t>
            </w:r>
          </w:p>
        </w:tc>
        <w:tc>
          <w:tcPr>
            <w:tcW w:w="720" w:type="dxa"/>
          </w:tcPr>
          <w:p w14:paraId="556729FF">
            <w:pPr>
              <w:jc w:val="center"/>
            </w:pPr>
            <w:r>
              <w:rPr>
                <w:rFonts w:ascii="Times New Roman" w:hAnsi="Times New Roman"/>
                <w:b w:val="0"/>
                <w:i w:val="0"/>
                <w:sz w:val="16"/>
              </w:rPr>
              <w:t>0</w:t>
            </w:r>
          </w:p>
        </w:tc>
        <w:tc>
          <w:tcPr>
            <w:tcW w:w="720" w:type="dxa"/>
          </w:tcPr>
          <w:p w14:paraId="1ED8AF21">
            <w:pPr>
              <w:jc w:val="center"/>
            </w:pPr>
            <w:r>
              <w:rPr>
                <w:rFonts w:ascii="Times New Roman" w:hAnsi="Times New Roman"/>
                <w:b w:val="0"/>
                <w:i w:val="0"/>
                <w:sz w:val="16"/>
              </w:rPr>
              <w:t>0</w:t>
            </w:r>
          </w:p>
        </w:tc>
        <w:tc>
          <w:tcPr>
            <w:tcW w:w="720" w:type="dxa"/>
          </w:tcPr>
          <w:p w14:paraId="6B60FCF3">
            <w:pPr>
              <w:jc w:val="center"/>
            </w:pPr>
            <w:r>
              <w:rPr>
                <w:rFonts w:ascii="Times New Roman" w:hAnsi="Times New Roman"/>
                <w:b w:val="0"/>
                <w:i w:val="0"/>
                <w:sz w:val="16"/>
              </w:rPr>
              <w:t>0</w:t>
            </w:r>
          </w:p>
        </w:tc>
        <w:tc>
          <w:tcPr>
            <w:tcW w:w="720" w:type="dxa"/>
          </w:tcPr>
          <w:p w14:paraId="58C06276">
            <w:pPr>
              <w:jc w:val="center"/>
            </w:pPr>
            <w:r>
              <w:rPr>
                <w:rFonts w:ascii="Times New Roman" w:hAnsi="Times New Roman"/>
                <w:b w:val="0"/>
                <w:i w:val="0"/>
                <w:sz w:val="16"/>
              </w:rPr>
              <w:t>0</w:t>
            </w:r>
          </w:p>
        </w:tc>
        <w:tc>
          <w:tcPr>
            <w:tcW w:w="720" w:type="dxa"/>
          </w:tcPr>
          <w:p w14:paraId="3E20CA2F">
            <w:pPr>
              <w:jc w:val="center"/>
            </w:pPr>
            <w:r>
              <w:rPr>
                <w:rFonts w:ascii="Times New Roman" w:hAnsi="Times New Roman"/>
                <w:b w:val="0"/>
                <w:i w:val="0"/>
                <w:sz w:val="16"/>
              </w:rPr>
              <w:t>1</w:t>
            </w:r>
          </w:p>
        </w:tc>
        <w:tc>
          <w:tcPr>
            <w:tcW w:w="720" w:type="dxa"/>
          </w:tcPr>
          <w:p w14:paraId="57860479">
            <w:pPr>
              <w:jc w:val="center"/>
            </w:pPr>
            <w:r>
              <w:rPr>
                <w:rFonts w:ascii="Times New Roman" w:hAnsi="Times New Roman"/>
                <w:b w:val="0"/>
                <w:i w:val="0"/>
                <w:sz w:val="16"/>
              </w:rPr>
              <w:t>0</w:t>
            </w:r>
          </w:p>
        </w:tc>
        <w:tc>
          <w:tcPr>
            <w:tcW w:w="720" w:type="dxa"/>
          </w:tcPr>
          <w:p w14:paraId="001CDDF8">
            <w:pPr>
              <w:jc w:val="center"/>
            </w:pPr>
            <w:r>
              <w:rPr>
                <w:rFonts w:ascii="Times New Roman" w:hAnsi="Times New Roman"/>
                <w:b w:val="0"/>
                <w:i w:val="0"/>
                <w:sz w:val="16"/>
              </w:rPr>
              <w:t>2</w:t>
            </w:r>
          </w:p>
        </w:tc>
        <w:tc>
          <w:tcPr>
            <w:tcW w:w="720" w:type="dxa"/>
          </w:tcPr>
          <w:p w14:paraId="1F923987">
            <w:pPr>
              <w:jc w:val="center"/>
            </w:pPr>
            <w:r>
              <w:rPr>
                <w:rFonts w:ascii="Times New Roman" w:hAnsi="Times New Roman"/>
                <w:b w:val="0"/>
                <w:i w:val="0"/>
                <w:sz w:val="16"/>
              </w:rPr>
              <w:t>Low</w:t>
            </w:r>
          </w:p>
        </w:tc>
      </w:tr>
    </w:tbl>
    <w:p w14:paraId="14E2EA18"/>
    <w:p w14:paraId="05D8996C">
      <w:r>
        <w:rPr>
          <w:rFonts w:ascii="Times New Roman" w:hAnsi="Times New Roman"/>
          <w:b w:val="0"/>
          <w:i/>
          <w:sz w:val="20"/>
        </w:rPr>
        <w:t>S1 = representativeness; S2 = sample size adequacy; S3 = non-respondent characterization; S4 = ascertainment method; C1 = confounder adjustment; C2 = contamination control; O1 = method validation; O2 = statistical analysis; O3 = recovery rate reported.</w:t>
      </w:r>
    </w:p>
    <w:p w14:paraId="62D0FF3F">
      <w:pPr>
        <w:pStyle w:val="5"/>
      </w:pPr>
      <w:r>
        <w:rPr>
          <w:rFonts w:ascii="Times New Roman" w:hAnsi="Times New Roman"/>
          <w:color w:val="000000"/>
        </w:rPr>
        <w:t>8.9.10 Research Limitations</w:t>
      </w:r>
    </w:p>
    <w:p w14:paraId="3EE3EDEF">
      <w:r>
        <w:rPr>
          <w:rFonts w:ascii="Times New Roman" w:hAnsi="Times New Roman"/>
          <w:b w:val="0"/>
          <w:i w:val="0"/>
          <w:sz w:val="24"/>
        </w:rPr>
        <w:t>Several critical limitations of the current human evidence should be acknowledged:</w:t>
      </w:r>
    </w:p>
    <w:p w14:paraId="5E862125">
      <w:pPr>
        <w:pStyle w:val="14"/>
      </w:pPr>
      <w:r>
        <w:rPr>
          <w:rFonts w:ascii="Times New Roman" w:hAnsi="Times New Roman"/>
          <w:b/>
          <w:i w:val="0"/>
          <w:sz w:val="24"/>
        </w:rPr>
        <w:t>Small meta-analytic sample:</w:t>
      </w:r>
      <w:r>
        <w:rPr>
          <w:rFonts w:ascii="Times New Roman" w:hAnsi="Times New Roman"/>
          <w:b w:val="0"/>
          <w:i w:val="0"/>
          <w:sz w:val="24"/>
        </w:rPr>
        <w:t xml:space="preserve"> Only 11 studies met inclusion criteria, reflecting the field's immaturity and heterogeneous reporting practices.</w:t>
      </w:r>
    </w:p>
    <w:p w14:paraId="3705C703">
      <w:pPr>
        <w:pStyle w:val="14"/>
      </w:pPr>
      <w:r>
        <w:rPr>
          <w:rFonts w:ascii="Times New Roman" w:hAnsi="Times New Roman"/>
          <w:b/>
          <w:i w:val="0"/>
          <w:sz w:val="24"/>
        </w:rPr>
        <w:t>Tissue representation imbalance:</w:t>
      </w:r>
      <w:r>
        <w:rPr>
          <w:rFonts w:ascii="Times New Roman" w:hAnsi="Times New Roman"/>
          <w:b w:val="0"/>
          <w:i w:val="0"/>
          <w:sz w:val="24"/>
        </w:rPr>
        <w:t xml:space="preserve"> Some tissues (blood, placenta, cerumen, breast milk) were represented by only a single study, precluding robust tissue-specific estimates.</w:t>
      </w:r>
    </w:p>
    <w:p w14:paraId="632A8C24">
      <w:pPr>
        <w:pStyle w:val="14"/>
      </w:pPr>
      <w:r>
        <w:rPr>
          <w:rFonts w:ascii="Times New Roman" w:hAnsi="Times New Roman"/>
          <w:b/>
          <w:i w:val="0"/>
          <w:sz w:val="24"/>
        </w:rPr>
        <w:t>Contamination bias:</w:t>
      </w:r>
      <w:r>
        <w:rPr>
          <w:rFonts w:ascii="Times New Roman" w:hAnsi="Times New Roman"/>
          <w:b w:val="0"/>
          <w:i w:val="0"/>
          <w:sz w:val="24"/>
        </w:rPr>
        <w:t xml:space="preserve"> Despite contamination control measures, complete elimination of background plastic contamination during sample collection and processing remains technically challenging.</w:t>
      </w:r>
    </w:p>
    <w:p w14:paraId="610F8F67">
      <w:pPr>
        <w:pStyle w:val="14"/>
      </w:pPr>
      <w:r>
        <w:rPr>
          <w:rFonts w:ascii="Times New Roman" w:hAnsi="Times New Roman"/>
          <w:b/>
          <w:i w:val="0"/>
          <w:sz w:val="24"/>
        </w:rPr>
        <w:t>Detection limit heterogeneity:</w:t>
      </w:r>
      <w:r>
        <w:rPr>
          <w:rFonts w:ascii="Times New Roman" w:hAnsi="Times New Roman"/>
          <w:b w:val="0"/>
          <w:i w:val="0"/>
          <w:sz w:val="24"/>
        </w:rPr>
        <w:t xml:space="preserve"> Different analytical methods have different lower size limits (ATR-FTIR: ~50 μm; μ-FTIR: ~3 μm; μ-Raman: ~1 μm; Py-GC/MS: no size limit), meaning "prevalence" captures different subsets of the true particle burden.</w:t>
      </w:r>
    </w:p>
    <w:p w14:paraId="1BCBF459">
      <w:pPr>
        <w:pStyle w:val="14"/>
      </w:pPr>
      <w:r>
        <w:rPr>
          <w:rFonts w:ascii="Times New Roman" w:hAnsi="Times New Roman"/>
          <w:b/>
          <w:i w:val="0"/>
          <w:sz w:val="24"/>
        </w:rPr>
        <w:t>Geographic and temporal clustering:</w:t>
      </w:r>
      <w:r>
        <w:rPr>
          <w:rFonts w:ascii="Times New Roman" w:hAnsi="Times New Roman"/>
          <w:b w:val="0"/>
          <w:i w:val="0"/>
          <w:sz w:val="24"/>
        </w:rPr>
        <w:t xml:space="preserve"> Most studies were from Turkey (k = 3), China (k = 2), or Europe, published between 2023 and 2025.</w:t>
      </w:r>
    </w:p>
    <w:p w14:paraId="5BE464F0">
      <w:pPr>
        <w:pStyle w:val="14"/>
      </w:pPr>
      <w:r>
        <w:rPr>
          <w:rFonts w:ascii="Times New Roman" w:hAnsi="Times New Roman"/>
          <w:b/>
          <w:i w:val="0"/>
          <w:sz w:val="24"/>
        </w:rPr>
        <w:t>Absence of liver data:</w:t>
      </w:r>
      <w:r>
        <w:rPr>
          <w:rFonts w:ascii="Times New Roman" w:hAnsi="Times New Roman"/>
          <w:b w:val="0"/>
          <w:i w:val="0"/>
          <w:sz w:val="24"/>
        </w:rPr>
        <w:t xml:space="preserve"> Despite being a key accumulation organ in animal models, no study meeting meta-analytic inclusion criteria reported hepatic prevalence data.</w:t>
      </w:r>
    </w:p>
    <w:p w14:paraId="2D91FBE4">
      <w:pPr>
        <w:pStyle w:val="4"/>
      </w:pPr>
      <w:r>
        <w:rPr>
          <w:rFonts w:ascii="Times New Roman" w:hAnsi="Times New Roman"/>
          <w:color w:val="000000"/>
        </w:rPr>
        <w:t>8.10 Comparative Analysis</w:t>
      </w:r>
    </w:p>
    <w:p w14:paraId="2BFC56B0">
      <w:pPr>
        <w:pStyle w:val="5"/>
      </w:pPr>
      <w:r>
        <w:rPr>
          <w:rFonts w:ascii="Times New Roman" w:hAnsi="Times New Roman"/>
          <w:color w:val="000000"/>
        </w:rPr>
        <w:t>8.10.1 Species Differences</w:t>
      </w:r>
    </w:p>
    <w:p w14:paraId="436F60BA">
      <w:r>
        <w:rPr>
          <w:rFonts w:ascii="Times New Roman" w:hAnsi="Times New Roman"/>
          <w:b w:val="0"/>
          <w:i w:val="0"/>
          <w:sz w:val="24"/>
        </w:rPr>
        <w:t>Cross-species comparisons reveal both conserved and divergent patterns of iMNP biodistribution:</w:t>
      </w:r>
    </w:p>
    <w:p w14:paraId="5F5B868C">
      <w:r>
        <w:rPr>
          <w:rFonts w:ascii="Times New Roman" w:hAnsi="Times New Roman"/>
          <w:b/>
          <w:i w:val="0"/>
          <w:sz w:val="24"/>
        </w:rPr>
        <w:t>Rodent vs. human:</w:t>
      </w:r>
      <w:r>
        <w:rPr>
          <w:rFonts w:ascii="Times New Roman" w:hAnsi="Times New Roman"/>
          <w:b w:val="0"/>
          <w:i w:val="0"/>
          <w:sz w:val="24"/>
        </w:rPr>
        <w:t xml:space="preserve"> Rodent models generally show qualitatively similar organ distribution patterns (liver &gt; gut &gt; spleen &gt; lung), but quantitative translocation rates differ due to anatomical and physiological differences. The rodent gut has a shorter transit time (~6–8 hours vs. 24–72 hours in humans), potentially reducing absorption time. Conversely, the higher metabolic rate and cardiac output in rodents may enhance particle distribution to peripheral tissues [102].</w:t>
      </w:r>
    </w:p>
    <w:p w14:paraId="2871ED51">
      <w:r>
        <w:rPr>
          <w:rFonts w:ascii="Times New Roman" w:hAnsi="Times New Roman"/>
          <w:b/>
          <w:i w:val="0"/>
          <w:sz w:val="24"/>
        </w:rPr>
        <w:t>Aquatic vs. terrestrial organisms:</w:t>
      </w:r>
      <w:r>
        <w:rPr>
          <w:rFonts w:ascii="Times New Roman" w:hAnsi="Times New Roman"/>
          <w:b w:val="0"/>
          <w:i w:val="0"/>
          <w:sz w:val="24"/>
        </w:rPr>
        <w:t xml:space="preserve"> Marine organisms (fish, bivalves, crustaceans) accumulate MPs primarily in the gastrointestinal tract and gills, with limited systemic distribution [103]. In contrast, terrestrial mammals show more extensive systemic distribution following oral exposure, likely reflecting differences in gut physiology and vascular organization.</w:t>
      </w:r>
    </w:p>
    <w:p w14:paraId="6273ADBB">
      <w:r>
        <w:rPr>
          <w:rFonts w:ascii="Times New Roman" w:hAnsi="Times New Roman"/>
          <w:b/>
          <w:i w:val="0"/>
          <w:sz w:val="24"/>
        </w:rPr>
        <w:t>Non-human primates:</w:t>
      </w:r>
      <w:r>
        <w:rPr>
          <w:rFonts w:ascii="Times New Roman" w:hAnsi="Times New Roman"/>
          <w:b w:val="0"/>
          <w:i w:val="0"/>
          <w:sz w:val="24"/>
        </w:rPr>
        <w:t xml:space="preserve"> Data on iMNP biodistribution in non-human primates are extremely limited. Given their closer physiological similarity to humans (including placental structure, BBB characteristics, and gut transit time), primate studies would provide the most translatable biodistribution data, but ethical considerations limit such research [104].</w:t>
      </w:r>
    </w:p>
    <w:p w14:paraId="6930BC4B">
      <w:r>
        <w:rPr>
          <w:rFonts w:ascii="Times New Roman" w:hAnsi="Times New Roman"/>
          <w:b/>
          <w:i w:val="0"/>
          <w:sz w:val="24"/>
        </w:rPr>
        <w:t>Allometric scaling considerations:</w:t>
      </w:r>
      <w:r>
        <w:rPr>
          <w:rFonts w:ascii="Times New Roman" w:hAnsi="Times New Roman"/>
          <w:b w:val="0"/>
          <w:i w:val="0"/>
          <w:sz w:val="24"/>
        </w:rPr>
        <w:t xml:space="preserve"> Interspecies extrapolation of iMNP kinetics requires allometric scaling of physiological parameters (organ blood flows, cardiac output, organ volumes) and consideration of species-specific differences in macrophage function, gut physiology, and barrier permeability [105].</w:t>
      </w:r>
    </w:p>
    <w:p w14:paraId="4FF3C29B">
      <w:pPr>
        <w:pStyle w:val="5"/>
      </w:pPr>
      <w:r>
        <w:rPr>
          <w:rFonts w:ascii="Times New Roman" w:hAnsi="Times New Roman"/>
          <w:color w:val="000000"/>
        </w:rPr>
        <w:t>8.10.2 Particle Type Differences</w:t>
      </w:r>
    </w:p>
    <w:p w14:paraId="19670C7E">
      <w:r>
        <w:rPr>
          <w:rFonts w:ascii="Times New Roman" w:hAnsi="Times New Roman"/>
          <w:b w:val="0"/>
          <w:i w:val="0"/>
          <w:sz w:val="24"/>
        </w:rPr>
        <w:t>The biodistribution and tissue retention of iMNPs vary significantly with polymer type:</w:t>
      </w:r>
    </w:p>
    <w:p w14:paraId="2651CC0E">
      <w:pPr>
        <w:pStyle w:val="16"/>
      </w:pPr>
      <w:r>
        <w:rPr>
          <w:rFonts w:ascii="Times New Roman" w:hAnsi="Times New Roman"/>
          <w:b/>
          <w:i w:val="0"/>
          <w:sz w:val="24"/>
        </w:rPr>
        <w:t>Polyethylene (PE) and polypropylene (PP):</w:t>
      </w:r>
      <w:r>
        <w:rPr>
          <w:rFonts w:ascii="Times New Roman" w:hAnsi="Times New Roman"/>
          <w:b w:val="0"/>
          <w:i w:val="0"/>
          <w:sz w:val="24"/>
        </w:rPr>
        <w:t xml:space="preserve"> As the most produced polymers globally, PE and PP are the most frequently detected in human tissues [91]. Their high hydrophobicity promotes protein corona formation and macrophage uptake.</w:t>
      </w:r>
    </w:p>
    <w:p w14:paraId="03718DF3">
      <w:pPr>
        <w:pStyle w:val="16"/>
      </w:pPr>
      <w:r>
        <w:rPr>
          <w:rFonts w:ascii="Times New Roman" w:hAnsi="Times New Roman"/>
          <w:b/>
          <w:i w:val="0"/>
          <w:sz w:val="24"/>
        </w:rPr>
        <w:t>Polystyrene (PS):</w:t>
      </w:r>
      <w:r>
        <w:rPr>
          <w:rFonts w:ascii="Times New Roman" w:hAnsi="Times New Roman"/>
          <w:b w:val="0"/>
          <w:i w:val="0"/>
          <w:sz w:val="24"/>
        </w:rPr>
        <w:t xml:space="preserve"> The most widely used polymer in experimental studies due to availability of fluorescent and size-calibrated standards. PS shows relatively high cellular uptake efficiency and has been detected in blood and gastrointestinal samples [93,98].</w:t>
      </w:r>
    </w:p>
    <w:p w14:paraId="2C277104">
      <w:pPr>
        <w:pStyle w:val="16"/>
      </w:pPr>
      <w:r>
        <w:rPr>
          <w:rFonts w:ascii="Times New Roman" w:hAnsi="Times New Roman"/>
          <w:b/>
          <w:i w:val="0"/>
          <w:sz w:val="24"/>
        </w:rPr>
        <w:t>Polyethylene terephthalate (PET):</w:t>
      </w:r>
      <w:r>
        <w:rPr>
          <w:rFonts w:ascii="Times New Roman" w:hAnsi="Times New Roman"/>
          <w:b w:val="0"/>
          <w:i w:val="0"/>
          <w:sz w:val="24"/>
        </w:rPr>
        <w:t xml:space="preserve"> A major component of beverage containers and textiles, PET is frequently detected in blood and gut samples. Its aromatic backbone may undergo slow hydrolysis under physiological conditions [92].</w:t>
      </w:r>
    </w:p>
    <w:p w14:paraId="22B88D17">
      <w:pPr>
        <w:pStyle w:val="16"/>
      </w:pPr>
      <w:r>
        <w:rPr>
          <w:rFonts w:ascii="Times New Roman" w:hAnsi="Times New Roman"/>
          <w:b/>
          <w:i w:val="0"/>
          <w:sz w:val="24"/>
        </w:rPr>
        <w:t>Polyvinyl chloride (PVC):</w:t>
      </w:r>
      <w:r>
        <w:rPr>
          <w:rFonts w:ascii="Times New Roman" w:hAnsi="Times New Roman"/>
          <w:b w:val="0"/>
          <w:i w:val="0"/>
          <w:sz w:val="24"/>
        </w:rPr>
        <w:t xml:space="preserve"> PVC particles, often containing plasticizer additives, show high detection rates in stool samples (linked to food packaging exposure) and have been implicated in gut microbiota disruption [98].</w:t>
      </w:r>
    </w:p>
    <w:p w14:paraId="23E886D0">
      <w:pPr>
        <w:pStyle w:val="16"/>
      </w:pPr>
      <w:r>
        <w:rPr>
          <w:rFonts w:ascii="Times New Roman" w:hAnsi="Times New Roman"/>
          <w:b/>
          <w:i w:val="0"/>
          <w:sz w:val="24"/>
        </w:rPr>
        <w:t>Nylon/polyamide (PA):</w:t>
      </w:r>
      <w:r>
        <w:rPr>
          <w:rFonts w:ascii="Times New Roman" w:hAnsi="Times New Roman"/>
          <w:b w:val="0"/>
          <w:i w:val="0"/>
          <w:sz w:val="24"/>
        </w:rPr>
        <w:t xml:space="preserve"> Textile fibers represent a major source of PA microplastics in indoor air and, consequently, in lung tissue [106].</w:t>
      </w:r>
    </w:p>
    <w:p w14:paraId="52549235">
      <w:pPr>
        <w:pStyle w:val="5"/>
      </w:pPr>
      <w:r>
        <w:rPr>
          <w:rFonts w:ascii="Times New Roman" w:hAnsi="Times New Roman"/>
          <w:color w:val="000000"/>
        </w:rPr>
        <w:t>8.10.3 Exposure Route Differences</w:t>
      </w:r>
    </w:p>
    <w:p w14:paraId="73AF5317">
      <w:r>
        <w:rPr>
          <w:rFonts w:ascii="Times New Roman" w:hAnsi="Times New Roman"/>
          <w:b w:val="0"/>
          <w:i w:val="0"/>
          <w:sz w:val="24"/>
        </w:rPr>
        <w:t>The route of exposure fundamentally determines the initial tissue distribution and subsequent biodistribution pattern:</w:t>
      </w:r>
    </w:p>
    <w:p w14:paraId="5325D6B0">
      <w:r>
        <w:rPr>
          <w:rFonts w:ascii="Times New Roman" w:hAnsi="Times New Roman"/>
          <w:b/>
          <w:i w:val="0"/>
          <w:sz w:val="24"/>
        </w:rPr>
        <w:t>Oral exposure:</w:t>
      </w:r>
      <w:r>
        <w:rPr>
          <w:rFonts w:ascii="Times New Roman" w:hAnsi="Times New Roman"/>
          <w:b w:val="0"/>
          <w:i w:val="0"/>
          <w:sz w:val="24"/>
        </w:rPr>
        <w:t xml:space="preserve"> The dominant exposure route (~95% of total daily MP intake). The majority of orally ingested particles transit the GI tract and are excreted in feces. The fraction that crosses the intestinal barrier (estimated at 0.04–0.3% for 100 nm particles) enters portal circulation and is largely sequestered by the liver on first pass [78].</w:t>
      </w:r>
    </w:p>
    <w:p w14:paraId="1B311D0F">
      <w:r>
        <w:rPr>
          <w:rFonts w:ascii="Times New Roman" w:hAnsi="Times New Roman"/>
          <w:b/>
          <w:i w:val="0"/>
          <w:sz w:val="24"/>
        </w:rPr>
        <w:t>Inhalation exposure:</w:t>
      </w:r>
      <w:r>
        <w:rPr>
          <w:rFonts w:ascii="Times New Roman" w:hAnsi="Times New Roman"/>
          <w:b w:val="0"/>
          <w:i w:val="0"/>
          <w:sz w:val="24"/>
        </w:rPr>
        <w:t xml:space="preserve"> Contributing an estimated 0.05–0.3 g/week to total exposure. Inhaled particles deposit along the respiratory tract in a size-dependent manner, with fine and nanoparticles reaching the alveoli and potentially entering systemic circulation [34,35].</w:t>
      </w:r>
    </w:p>
    <w:p w14:paraId="365DE5DE">
      <w:r>
        <w:rPr>
          <w:rFonts w:ascii="Times New Roman" w:hAnsi="Times New Roman"/>
          <w:b/>
          <w:i w:val="0"/>
          <w:sz w:val="24"/>
        </w:rPr>
        <w:t>Dermal exposure:</w:t>
      </w:r>
      <w:r>
        <w:rPr>
          <w:rFonts w:ascii="Times New Roman" w:hAnsi="Times New Roman"/>
          <w:b w:val="0"/>
          <w:i w:val="0"/>
          <w:sz w:val="24"/>
        </w:rPr>
        <w:t xml:space="preserve"> The least studied route, dermal absorption of MPs &gt;1 μm is considered negligible due to the stratum corneum barrier. However, nanoplastics (&lt;100 nm) may penetrate compromised or inflamed skin, and dermal exposure to plastic additives (plasticizers, UV stabilizers) from clothing and personal care products represents an additional concern [107].</w:t>
      </w:r>
    </w:p>
    <w:p w14:paraId="5A1F0869">
      <w:pPr>
        <w:pStyle w:val="4"/>
      </w:pPr>
      <w:bookmarkStart w:id="0" w:name="_GoBack"/>
      <w:bookmarkEnd w:id="0"/>
      <w:r>
        <w:rPr>
          <w:rFonts w:ascii="Times New Roman" w:hAnsi="Times New Roman"/>
          <w:color w:val="000000"/>
        </w:rPr>
        <w:t>8.11 Conclusions and Future Perspectives</w:t>
      </w:r>
    </w:p>
    <w:p w14:paraId="365B9C40">
      <w:r>
        <w:rPr>
          <w:rFonts w:ascii="Times New Roman" w:hAnsi="Times New Roman"/>
          <w:b w:val="0"/>
          <w:i w:val="0"/>
          <w:sz w:val="24"/>
        </w:rPr>
        <w:t>This chapter has provided a comprehensive review of the identification and tracking tools for iMNPs in biological systems, spanning analytical methodology, biodistribution, barrier crossing, kinetics, and human evidence.</w:t>
      </w:r>
    </w:p>
    <w:p w14:paraId="2F1669E0">
      <w:r>
        <w:rPr>
          <w:rFonts w:ascii="Times New Roman" w:hAnsi="Times New Roman"/>
          <w:b/>
          <w:i w:val="0"/>
          <w:sz w:val="24"/>
        </w:rPr>
        <w:t>Key conclusions:</w:t>
      </w:r>
    </w:p>
    <w:p w14:paraId="3BF0F2F6">
      <w:pPr>
        <w:pStyle w:val="14"/>
      </w:pPr>
      <w:r>
        <w:rPr>
          <w:rFonts w:ascii="Times New Roman" w:hAnsi="Times New Roman"/>
          <w:b/>
          <w:i w:val="0"/>
          <w:sz w:val="24"/>
        </w:rPr>
        <w:t>Analytical capabilities are rapidly expanding</w:t>
      </w:r>
      <w:r>
        <w:rPr>
          <w:rFonts w:ascii="Times New Roman" w:hAnsi="Times New Roman"/>
          <w:b w:val="0"/>
          <w:i w:val="0"/>
          <w:sz w:val="24"/>
        </w:rPr>
        <w:t xml:space="preserve"> but remain constrained by fundamental limitations. FTIR and Raman spectroscopy provide robust polymer identification for microplastics (&gt;1–3 μm), while Py-GC/MS extends detection to nanoplastics in mass-based terms. No single technique provides complete characterization across the full size range.</w:t>
      </w:r>
    </w:p>
    <w:p w14:paraId="345760BD">
      <w:pPr>
        <w:pStyle w:val="14"/>
      </w:pPr>
      <w:r>
        <w:rPr>
          <w:rFonts w:ascii="Times New Roman" w:hAnsi="Times New Roman"/>
          <w:b/>
          <w:i w:val="0"/>
          <w:sz w:val="24"/>
        </w:rPr>
        <w:t>Reference databases require expansion</w:t>
      </w:r>
      <w:r>
        <w:rPr>
          <w:rFonts w:ascii="Times New Roman" w:hAnsi="Times New Roman"/>
          <w:b w:val="0"/>
          <w:i w:val="0"/>
          <w:sz w:val="24"/>
        </w:rPr>
        <w:t xml:space="preserve"> to include spectra of degraded, biologically altered, and matrix-embedded polymers. Standardized reporting frameworks and inter-laboratory proficiency testing are urgently needed.</w:t>
      </w:r>
    </w:p>
    <w:p w14:paraId="5E39706D">
      <w:pPr>
        <w:pStyle w:val="14"/>
      </w:pPr>
      <w:r>
        <w:rPr>
          <w:rFonts w:ascii="Times New Roman" w:hAnsi="Times New Roman"/>
          <w:b/>
          <w:i w:val="0"/>
          <w:sz w:val="24"/>
        </w:rPr>
        <w:t>Animal studies demonstrate consistent biodistribution patterns</w:t>
      </w:r>
      <w:r>
        <w:rPr>
          <w:rFonts w:ascii="Times New Roman" w:hAnsi="Times New Roman"/>
          <w:b w:val="0"/>
          <w:i w:val="0"/>
          <w:sz w:val="24"/>
        </w:rPr>
        <w:t xml:space="preserve"> with size-dependent accumulation primarily in the liver, gut, spleen, and lungs. Nanoplastics show greater tissue penetration and longer retention than microplastics.</w:t>
      </w:r>
    </w:p>
    <w:p w14:paraId="2F10DA77">
      <w:pPr>
        <w:pStyle w:val="14"/>
      </w:pPr>
      <w:r>
        <w:rPr>
          <w:rFonts w:ascii="Times New Roman" w:hAnsi="Times New Roman"/>
          <w:b/>
          <w:i w:val="0"/>
          <w:sz w:val="24"/>
        </w:rPr>
        <w:t>Biological barriers are not impermeable to iMNPs.</w:t>
      </w:r>
      <w:r>
        <w:rPr>
          <w:rFonts w:ascii="Times New Roman" w:hAnsi="Times New Roman"/>
          <w:b w:val="0"/>
          <w:i w:val="0"/>
          <w:sz w:val="24"/>
        </w:rPr>
        <w:t xml:space="preserve"> The intestinal epithelium, alveolar-capillary barrier, blood-brain barrier, and placenta all permit particle translocation through transcellular, paracellular, and specialized (M-cell) pathways, with efficiency inversely related to particle size.</w:t>
      </w:r>
    </w:p>
    <w:p w14:paraId="632707D5">
      <w:pPr>
        <w:pStyle w:val="14"/>
      </w:pPr>
      <w:r>
        <w:rPr>
          <w:rFonts w:ascii="Times New Roman" w:hAnsi="Times New Roman"/>
          <w:b/>
          <w:i w:val="0"/>
          <w:sz w:val="24"/>
        </w:rPr>
        <w:t>PBPK modeling is a promising but underdeveloped tool</w:t>
      </w:r>
      <w:r>
        <w:rPr>
          <w:rFonts w:ascii="Times New Roman" w:hAnsi="Times New Roman"/>
          <w:b w:val="0"/>
          <w:i w:val="0"/>
          <w:sz w:val="24"/>
        </w:rPr>
        <w:t xml:space="preserve"> for predicting iMNP kinetics, requiring adaptation from molecular-level pharmacokinetics to particle-specific behaviors including RES uptake, barrier crossing, and absence of metabolism.</w:t>
      </w:r>
    </w:p>
    <w:p w14:paraId="3EF23C01">
      <w:pPr>
        <w:pStyle w:val="14"/>
      </w:pPr>
      <w:r>
        <w:rPr>
          <w:rFonts w:ascii="Times New Roman" w:hAnsi="Times New Roman"/>
          <w:b/>
          <w:i w:val="0"/>
          <w:sz w:val="24"/>
        </w:rPr>
        <w:t>Our meta-analysis of 11 studies (N = 474) demonstrates that iMNPs are detectable in 68.5% of human tissue samples</w:t>
      </w:r>
      <w:r>
        <w:rPr>
          <w:rFonts w:ascii="Times New Roman" w:hAnsi="Times New Roman"/>
          <w:b w:val="0"/>
          <w:i w:val="0"/>
          <w:sz w:val="24"/>
        </w:rPr>
        <w:t xml:space="preserve"> (95% CI: 56.3–78.6%), with the highest prevalence in blood (90.0%), placenta (90.0%), stool (85.3%), and cerumen (83.3%), and the lowest in breast milk (39.0%).</w:t>
      </w:r>
    </w:p>
    <w:p w14:paraId="4F8475B7">
      <w:pPr>
        <w:pStyle w:val="14"/>
      </w:pPr>
      <w:r>
        <w:rPr>
          <w:rFonts w:ascii="Times New Roman" w:hAnsi="Times New Roman"/>
          <w:b/>
          <w:i w:val="0"/>
          <w:sz w:val="24"/>
        </w:rPr>
        <w:t>Substantial heterogeneity (I² = 77%) reflects methodological variability</w:t>
      </w:r>
      <w:r>
        <w:rPr>
          <w:rFonts w:ascii="Times New Roman" w:hAnsi="Times New Roman"/>
          <w:b w:val="0"/>
          <w:i w:val="0"/>
          <w:sz w:val="24"/>
        </w:rPr>
        <w:t xml:space="preserve"> rather than true within-tissue differences, as within-tissue heterogeneity was consistently 0% for subgroups with multiple studies.</w:t>
      </w:r>
    </w:p>
    <w:p w14:paraId="3EB3ED6B">
      <w:r>
        <w:rPr>
          <w:rFonts w:ascii="Times New Roman" w:hAnsi="Times New Roman"/>
          <w:b/>
          <w:i w:val="0"/>
          <w:sz w:val="24"/>
        </w:rPr>
        <w:t>Future priorities include:</w:t>
      </w:r>
      <w:r>
        <w:rPr>
          <w:rFonts w:ascii="Times New Roman" w:hAnsi="Times New Roman"/>
          <w:b w:val="0"/>
          <w:i w:val="0"/>
          <w:sz w:val="24"/>
        </w:rPr>
        <w:t xml:space="preserve"> (a) development and validation of nanoplastics-specific detection methods for biological matrices; (b) large-scale, multi-center biomonitoring studies with standardized protocols (n &gt; 100 per tissue type); (c) PBPK model validation using human pharmacokinetic data; (d) longitudinal studies tracking individual body burden over time; and (e) integration of exposure data with health outcome epidemiology to establish dose-response relationships.</w:t>
      </w:r>
    </w:p>
    <w:p w14:paraId="2114F715">
      <w:pPr>
        <w:pStyle w:val="4"/>
      </w:pPr>
      <w:r>
        <w:rPr>
          <w:rFonts w:ascii="Times New Roman" w:hAnsi="Times New Roman"/>
          <w:color w:val="000000"/>
        </w:rPr>
        <w:t>References</w:t>
      </w:r>
    </w:p>
    <w:p w14:paraId="70780547">
      <w:pPr>
        <w:ind w:left="454" w:hanging="454"/>
      </w:pPr>
      <w:r>
        <w:rPr>
          <w:rFonts w:ascii="Times New Roman" w:hAnsi="Times New Roman"/>
          <w:b w:val="0"/>
          <w:i w:val="0"/>
          <w:sz w:val="20"/>
        </w:rPr>
        <w:t>1. Primpke S, Wirth M, Lorenz C, Gerdts G. Reference database design for the automated analysis of microplastic samples based on Fourier transform infrared (FTIR) spectroscopy. Anal Bioanal Chem. 2018;410(21):5131–5141. doi:10.1007/s00216-018-1156-x</w:t>
      </w:r>
    </w:p>
    <w:p w14:paraId="565D2C3B">
      <w:pPr>
        <w:ind w:left="454" w:hanging="454"/>
      </w:pPr>
      <w:r>
        <w:rPr>
          <w:rFonts w:ascii="Times New Roman" w:hAnsi="Times New Roman"/>
          <w:b w:val="0"/>
          <w:i w:val="0"/>
          <w:sz w:val="20"/>
        </w:rPr>
        <w:t>2. Jenner LC, Rotchell JM, Bennett RT, Cowen M, Sherburn V, Sherburn V, et al. Detection of microplastics in human lung tissue using μFTIR spectroscopy. Sci Total Environ. 2022;831:154907. doi:10.1016/j.scitotenv.2022.154907</w:t>
      </w:r>
    </w:p>
    <w:p w14:paraId="033D783D">
      <w:pPr>
        <w:ind w:left="454" w:hanging="454"/>
      </w:pPr>
      <w:r>
        <w:rPr>
          <w:rFonts w:ascii="Times New Roman" w:hAnsi="Times New Roman"/>
          <w:b w:val="0"/>
          <w:i w:val="0"/>
          <w:sz w:val="20"/>
        </w:rPr>
        <w:t>3. Lv L, He L, Jiang S, Chen J, Zhou C, Qu J, et al. In situ surface-enhanced Raman spectroscopy for detecting microplastics and nanoplastics in aquatic environments. Sci Total Environ. 2020;728:138449. doi:10.1016/j.scitotenv.2020.138449</w:t>
      </w:r>
    </w:p>
    <w:p w14:paraId="3BAD4A2A">
      <w:pPr>
        <w:ind w:left="454" w:hanging="454"/>
      </w:pPr>
      <w:r>
        <w:rPr>
          <w:rFonts w:ascii="Times New Roman" w:hAnsi="Times New Roman"/>
          <w:b w:val="0"/>
          <w:i w:val="0"/>
          <w:sz w:val="20"/>
        </w:rPr>
        <w:t>4. Fischer M, Scholz-Böttcher BM. Simultaneous trace identification and quantification of common types of microplastics in environmental samples by pyrolysis-gas chromatography-mass spectrometry. Environ Sci Technol. 2017;51(9):5052–5060. doi:10.1021/acs.est.6b06362</w:t>
      </w:r>
    </w:p>
    <w:p w14:paraId="34699662">
      <w:pPr>
        <w:ind w:left="454" w:hanging="454"/>
      </w:pPr>
      <w:r>
        <w:rPr>
          <w:rFonts w:ascii="Times New Roman" w:hAnsi="Times New Roman"/>
          <w:b w:val="0"/>
          <w:i w:val="0"/>
          <w:sz w:val="20"/>
        </w:rPr>
        <w:t>5. Dümichen E, Eisentraut P, Bannick CG, Barthel AK, Campos R, Modern U. Fast identification of microplastics in complex environmental samples by a thermal degradation method. Chemosphere. 2017;174:572–584. doi:10.1016/j.chemosphere.2017.02.010</w:t>
      </w:r>
    </w:p>
    <w:p w14:paraId="3F3D84B2">
      <w:pPr>
        <w:ind w:left="454" w:hanging="454"/>
      </w:pPr>
      <w:r>
        <w:rPr>
          <w:rFonts w:ascii="Times New Roman" w:hAnsi="Times New Roman"/>
          <w:b w:val="0"/>
          <w:i w:val="0"/>
          <w:sz w:val="20"/>
        </w:rPr>
        <w:t>6. Schwaferts C, Niessner R, Elsner M, Ivleva NP. Methods for the analysis of submicrometer- and nanoplastic particles in the environment. TrAC Trends Anal Chem. 2019;112:52–65. doi:10.1016/j.trac.2018.12.014</w:t>
      </w:r>
    </w:p>
    <w:p w14:paraId="103ACBE7">
      <w:pPr>
        <w:ind w:left="454" w:hanging="454"/>
      </w:pPr>
      <w:r>
        <w:rPr>
          <w:rFonts w:ascii="Times New Roman" w:hAnsi="Times New Roman"/>
          <w:b w:val="0"/>
          <w:i w:val="0"/>
          <w:sz w:val="20"/>
        </w:rPr>
        <w:t>7. Primpke S, Godejohann M, Gerdts G. Rapid identification and quantification of microplastics in the environment by quantum cascade laser-based hyperspectral infrared chemical imaging. Environ Sci Technol. 2020;54(24):15893–15903. doi:10.1021/acs.est.0c05722</w:t>
      </w:r>
    </w:p>
    <w:p w14:paraId="68A0FB4B">
      <w:pPr>
        <w:ind w:left="454" w:hanging="454"/>
      </w:pPr>
      <w:r>
        <w:rPr>
          <w:rFonts w:ascii="Times New Roman" w:hAnsi="Times New Roman"/>
          <w:b w:val="0"/>
          <w:i w:val="0"/>
          <w:sz w:val="20"/>
        </w:rPr>
        <w:t>8. Dazzi A, Prater CB. AFM-IR: technology and applications in nanoscale infrared spectroscopy and chemical imaging. Chem Rev. 2017;117(7):5146–5173. doi:10.1021/acs.chemrev.6b00448</w:t>
      </w:r>
    </w:p>
    <w:p w14:paraId="20626A46">
      <w:pPr>
        <w:ind w:left="454" w:hanging="454"/>
      </w:pPr>
      <w:r>
        <w:rPr>
          <w:rFonts w:ascii="Times New Roman" w:hAnsi="Times New Roman"/>
          <w:b w:val="0"/>
          <w:i w:val="0"/>
          <w:sz w:val="20"/>
        </w:rPr>
        <w:t>9. Hahladakis JN, Velis CA, Weber R, Iacovidou E, Purnell P. An overview of chemical additives present in plastics: migration, release, fate and environmental impact during their use, disposal and recycling. J Hazard Mater. 2018;344:179–199. doi:10.1016/j.jhazmat.2017.10.014</w:t>
      </w:r>
    </w:p>
    <w:p w14:paraId="2F21E8F4">
      <w:pPr>
        <w:ind w:left="454" w:hanging="454"/>
      </w:pPr>
      <w:r>
        <w:rPr>
          <w:rFonts w:ascii="Times New Roman" w:hAnsi="Times New Roman"/>
          <w:b w:val="0"/>
          <w:i w:val="0"/>
          <w:sz w:val="20"/>
        </w:rPr>
        <w:t>10. Giuliani A, Zuccarini M, Cichelli A, Khan H, Reale M. Critical review on the presence of phthalates in food and evidence of their biological impact. Int J Environ Res Public Health. 2020;17(16):5655. doi:10.3390/ijerph17165655</w:t>
      </w:r>
    </w:p>
    <w:p w14:paraId="42B321D3">
      <w:pPr>
        <w:ind w:left="454" w:hanging="454"/>
      </w:pPr>
      <w:r>
        <w:rPr>
          <w:rFonts w:ascii="Times New Roman" w:hAnsi="Times New Roman"/>
          <w:b w:val="0"/>
          <w:i w:val="0"/>
          <w:sz w:val="20"/>
        </w:rPr>
        <w:t>11. Alaee M, Arias P, Sjödin A, Bergman Å. An overview of commercially used brominated flame retardants, their applications, their use patterns in different countries/regions and possible modes of release. Environ Int. 2003;29(6):683–689. doi:10.1016/S0160-4120(03)00121-1</w:t>
      </w:r>
    </w:p>
    <w:p w14:paraId="5505CCA0">
      <w:pPr>
        <w:ind w:left="454" w:hanging="454"/>
      </w:pPr>
      <w:r>
        <w:rPr>
          <w:rFonts w:ascii="Times New Roman" w:hAnsi="Times New Roman"/>
          <w:b w:val="0"/>
          <w:i w:val="0"/>
          <w:sz w:val="20"/>
        </w:rPr>
        <w:t>12. Wick A, Fink G, Ternes TA. Comparison of electrospray ionization and atmospheric pressure chemical ionization for multi-residue analysis of biocides, UV-filters and benzothiazoles in aqueous matrices and activated sludge by liquid chromatography-tandem mass spectrometry. J Chromatogr A. 2010;1217(14):2088–2103. doi:10.1016/j.chroma.2010.01.079</w:t>
      </w:r>
    </w:p>
    <w:p w14:paraId="436C792F">
      <w:pPr>
        <w:ind w:left="454" w:hanging="454"/>
      </w:pPr>
      <w:r>
        <w:rPr>
          <w:rFonts w:ascii="Times New Roman" w:hAnsi="Times New Roman"/>
          <w:b w:val="0"/>
          <w:i w:val="0"/>
          <w:sz w:val="20"/>
        </w:rPr>
        <w:t>13. Groh KJ, Backhaus T, Carney-Almroth B, Geueke B, Inostroza PA, Linnber A, et al. Overview of known plastic packaging-associated chemicals and their hazards. Sci Total Environ. 2019;651(Pt 2):3253–3268. doi:10.1016/j.scitotenv.2018.10.015</w:t>
      </w:r>
    </w:p>
    <w:p w14:paraId="231C32AF">
      <w:pPr>
        <w:ind w:left="454" w:hanging="454"/>
      </w:pPr>
      <w:r>
        <w:rPr>
          <w:rFonts w:ascii="Times New Roman" w:hAnsi="Times New Roman"/>
          <w:b w:val="0"/>
          <w:i w:val="0"/>
          <w:sz w:val="20"/>
        </w:rPr>
        <w:t>14. Wang Z, Walker GW, Muir DCG, Nagatani-Yoshida K. Toward a global understanding of chemical pollution: a first comprehensive analysis of national and regional chemical inventories. Environ Sci Technol. 2020;54(5):2575–2584. doi:10.1021/acs.est.9b06379</w:t>
      </w:r>
    </w:p>
    <w:p w14:paraId="6679711F">
      <w:pPr>
        <w:ind w:left="454" w:hanging="454"/>
      </w:pPr>
      <w:r>
        <w:rPr>
          <w:rFonts w:ascii="Times New Roman" w:hAnsi="Times New Roman"/>
          <w:b w:val="0"/>
          <w:i w:val="0"/>
          <w:sz w:val="20"/>
        </w:rPr>
        <w:t>15. Gewert B, Plassmann MM, MacLeod M. Pathways for degradation of plastic polymers floating in the marine environment. Environ Sci Process Impacts. 2015;17(9):1513–1521. doi:10.1039/C5EM00207A</w:t>
      </w:r>
    </w:p>
    <w:p w14:paraId="07806BBA">
      <w:pPr>
        <w:ind w:left="454" w:hanging="454"/>
      </w:pPr>
      <w:r>
        <w:rPr>
          <w:rFonts w:ascii="Times New Roman" w:hAnsi="Times New Roman"/>
          <w:b w:val="0"/>
          <w:i w:val="0"/>
          <w:sz w:val="20"/>
        </w:rPr>
        <w:t>16. Brandon J, Goldstein M, Ohman MD. Long-term aging and degradation of microplastic particles: comparing in situ oceanic and experimental weathering patterns. Mar Pollut Bull. 2016;110(1):299–308. doi:10.1016/j.marpolbul.2016.06.048</w:t>
      </w:r>
    </w:p>
    <w:p w14:paraId="3AE67BF6">
      <w:pPr>
        <w:ind w:left="454" w:hanging="454"/>
      </w:pPr>
      <w:r>
        <w:rPr>
          <w:rFonts w:ascii="Times New Roman" w:hAnsi="Times New Roman"/>
          <w:b w:val="0"/>
          <w:i w:val="0"/>
          <w:sz w:val="20"/>
        </w:rPr>
        <w:t>17. Andrady AL. The plastic in microplastics: a review. Mar Pollut Bull. 2017;119(1):12–22. doi:10.1016/j.marpolbul.2017.01.082</w:t>
      </w:r>
    </w:p>
    <w:p w14:paraId="61B90652">
      <w:pPr>
        <w:ind w:left="454" w:hanging="454"/>
      </w:pPr>
      <w:r>
        <w:rPr>
          <w:rFonts w:ascii="Times New Roman" w:hAnsi="Times New Roman"/>
          <w:b w:val="0"/>
          <w:i w:val="0"/>
          <w:sz w:val="20"/>
        </w:rPr>
        <w:t>18. Zettler ER, Mincer TJ, Amaral-Zettler LA. Life in the "plastisphere": microbial communities on plastic marine debris. Environ Sci Technol. 2013;47(13):7137–7146. doi:10.1021/es401288x</w:t>
      </w:r>
    </w:p>
    <w:p w14:paraId="513347EA">
      <w:pPr>
        <w:ind w:left="454" w:hanging="454"/>
      </w:pPr>
      <w:r>
        <w:rPr>
          <w:rFonts w:ascii="Times New Roman" w:hAnsi="Times New Roman"/>
          <w:b w:val="0"/>
          <w:i w:val="0"/>
          <w:sz w:val="20"/>
        </w:rPr>
        <w:t>19. Song YK, Hong SH, Jang M, Han GM, Jung SW, Shim WJ. Combined effects of UV exposure duration and mechanical abrasion on microplastic fragmentation by polymer type. Environ Sci Technol. 2017;51(8):4368–4376. doi:10.1021/acs.est.6b06155</w:t>
      </w:r>
    </w:p>
    <w:p w14:paraId="204EA006">
      <w:pPr>
        <w:ind w:left="454" w:hanging="454"/>
      </w:pPr>
      <w:r>
        <w:rPr>
          <w:rFonts w:ascii="Times New Roman" w:hAnsi="Times New Roman"/>
          <w:b w:val="0"/>
          <w:i w:val="0"/>
          <w:sz w:val="20"/>
        </w:rPr>
        <w:t>20. Hartmann NB, Rist S, Bodin J, Jensen LH, Schmidt SN, Mayer P, et al. Microplastics as vectors for environmental contaminants: exploring sorption, desorption, and transfer to biota. Integr Environ Assess Manag. 2017;13(3):488–493. doi:10.1002/ieam.1904</w:t>
      </w:r>
    </w:p>
    <w:p w14:paraId="588A4C87">
      <w:pPr>
        <w:ind w:left="454" w:hanging="454"/>
      </w:pPr>
      <w:r>
        <w:rPr>
          <w:rFonts w:ascii="Times New Roman" w:hAnsi="Times New Roman"/>
          <w:b w:val="0"/>
          <w:i w:val="0"/>
          <w:sz w:val="20"/>
        </w:rPr>
        <w:t>21. Cowger W, Steinmetz Z, Gray A, Munno K, Lynch J, Hapich H, et al. Microplastic spectral classification needs an open source community: open specy to the rescue! Anal Chem. 2021;93(21):7543–7548. doi:10.1021/acs.analchem.1c00123</w:t>
      </w:r>
    </w:p>
    <w:p w14:paraId="570C6A26">
      <w:pPr>
        <w:ind w:left="454" w:hanging="454"/>
      </w:pPr>
      <w:r>
        <w:rPr>
          <w:rFonts w:ascii="Times New Roman" w:hAnsi="Times New Roman"/>
          <w:b w:val="0"/>
          <w:i w:val="0"/>
          <w:sz w:val="20"/>
        </w:rPr>
        <w:t>22. Munno K, De Frond H, O'Donnell B, Rochman CM. Increasing the accessibility for characterizing microplastics: introducing new application-based and spectral libraries of plastic particles (SLoPP and SLoPP-E). Anal Chem. 2020;92(3):2443–2451. doi:10.1021/acs.analchem.9b03626</w:t>
      </w:r>
    </w:p>
    <w:p w14:paraId="49C6F155">
      <w:pPr>
        <w:ind w:left="454" w:hanging="454"/>
      </w:pPr>
      <w:r>
        <w:rPr>
          <w:rFonts w:ascii="Times New Roman" w:hAnsi="Times New Roman"/>
          <w:b w:val="0"/>
          <w:i w:val="0"/>
          <w:sz w:val="20"/>
        </w:rPr>
        <w:t>23. Tsuge S, Ohtani H, Watanabe C. Pyrolysis-GC/MS Data Book of Synthetic Polymers. Amsterdam: Elsevier; 2011. doi:10.1016/B978-0-444-53892-5.10001-9</w:t>
      </w:r>
    </w:p>
    <w:p w14:paraId="624A1AD6">
      <w:pPr>
        <w:ind w:left="454" w:hanging="454"/>
      </w:pPr>
      <w:r>
        <w:rPr>
          <w:rFonts w:ascii="Times New Roman" w:hAnsi="Times New Roman"/>
          <w:b w:val="0"/>
          <w:i w:val="0"/>
          <w:sz w:val="20"/>
        </w:rPr>
        <w:t>24. Liu P, Zhan X, Wu X, Li J, Wang H, Gao S. Effect of weathering on environmental behavior of microplastics: properties, sorption and potential risks. Chemosphere. 2020;242:125193. doi:10.1016/j.chemosphere.2019.125193</w:t>
      </w:r>
    </w:p>
    <w:p w14:paraId="46616485">
      <w:pPr>
        <w:ind w:left="454" w:hanging="454"/>
      </w:pPr>
      <w:r>
        <w:rPr>
          <w:rFonts w:ascii="Times New Roman" w:hAnsi="Times New Roman"/>
          <w:b w:val="0"/>
          <w:i w:val="0"/>
          <w:sz w:val="20"/>
        </w:rPr>
        <w:t>25. Veerasingam S, Ranjani M, Venkatachalapathy R, Bagaev A, Mukhanov V, Liber D, et al. Contributions of Fourier transform infrared spectroscopy in microplastic pollution research: a review. Crit Rev Environ Sci Technol. 2021;51(22):2681–2743. doi:10.1080/10643389.2020.1807450</w:t>
      </w:r>
    </w:p>
    <w:p w14:paraId="37508D82">
      <w:pPr>
        <w:ind w:left="454" w:hanging="454"/>
      </w:pPr>
      <w:r>
        <w:rPr>
          <w:rFonts w:ascii="Times New Roman" w:hAnsi="Times New Roman"/>
          <w:b w:val="0"/>
          <w:i w:val="0"/>
          <w:sz w:val="20"/>
        </w:rPr>
        <w:t>26. Hermsen E, Mintenig SM, Besseling E, Koelmans AA. Quality criteria for the analysis of microplastic in biota samples: a critical review. Environ Sci Technol. 2018;52(18):10230–10240. doi:10.1021/acs.est.8b01611</w:t>
      </w:r>
    </w:p>
    <w:p w14:paraId="7CB2D774">
      <w:pPr>
        <w:ind w:left="454" w:hanging="454"/>
      </w:pPr>
      <w:r>
        <w:rPr>
          <w:rFonts w:ascii="Times New Roman" w:hAnsi="Times New Roman"/>
          <w:b w:val="0"/>
          <w:i w:val="0"/>
          <w:sz w:val="20"/>
        </w:rPr>
        <w:t>27. Gigault J, El Hadri H, Nguyen B, Grassl B, Rowenczyk L, Tufenkji N, et al. Nanoplastics are neither microplastics nor engineered nanoparticles. Nat Nanotechnol. 2021;16(5):501–507. doi:10.1038/s41565-021-00886-4</w:t>
      </w:r>
    </w:p>
    <w:p w14:paraId="53FD3164">
      <w:pPr>
        <w:ind w:left="454" w:hanging="454"/>
      </w:pPr>
      <w:r>
        <w:rPr>
          <w:rFonts w:ascii="Times New Roman" w:hAnsi="Times New Roman"/>
          <w:b w:val="0"/>
          <w:i w:val="0"/>
          <w:sz w:val="20"/>
        </w:rPr>
        <w:t>28. McDonald RS, Wilks PA Jr. JCAMP-DX: a standard form for exchange of infrared spectra in computer readable form. Appl Spectrosc. 1988;42(1):151–162. doi:10.1366/0003702884428734</w:t>
      </w:r>
    </w:p>
    <w:p w14:paraId="3460D28A">
      <w:pPr>
        <w:ind w:left="454" w:hanging="454"/>
      </w:pPr>
      <w:r>
        <w:rPr>
          <w:rFonts w:ascii="Times New Roman" w:hAnsi="Times New Roman"/>
          <w:b w:val="0"/>
          <w:i w:val="0"/>
          <w:sz w:val="20"/>
        </w:rPr>
        <w:t>29. Wesch C, Elert AM, Wörner M, Stöckel S, Hoppe R. Assuring quality in microplastic monitoring: about the value of clean-air devices as essentials for verified data. Sci Rep. 2017;7(1):5424. doi:10.1038/s41598-017-05838-4</w:t>
      </w:r>
    </w:p>
    <w:p w14:paraId="3B66B8A5">
      <w:pPr>
        <w:ind w:left="454" w:hanging="454"/>
      </w:pPr>
      <w:r>
        <w:rPr>
          <w:rFonts w:ascii="Times New Roman" w:hAnsi="Times New Roman"/>
          <w:b w:val="0"/>
          <w:i w:val="0"/>
          <w:sz w:val="20"/>
        </w:rPr>
        <w:t>30. Dehaut A, Cassone AL, Frère L, Hermabessiere L, Himber C, Rinnert E, et al. Microplastics in seafood: benchmark protocol for their extraction and characterization. Environ Pollut. 2016;215:223–233. doi:10.1016/j.envpol.2016.05.018</w:t>
      </w:r>
    </w:p>
    <w:p w14:paraId="18CA486F">
      <w:pPr>
        <w:ind w:left="454" w:hanging="454"/>
      </w:pPr>
      <w:r>
        <w:rPr>
          <w:rFonts w:ascii="Times New Roman" w:hAnsi="Times New Roman"/>
          <w:b w:val="0"/>
          <w:i w:val="0"/>
          <w:sz w:val="20"/>
        </w:rPr>
        <w:t>31. Deng Y, Zhang Y, Lemos B, Ren H. Tissue accumulation of microplastics in mice and biomarker responses suggest widespread health risks of exposure. Sci Rep. 2017;7:46687. doi:10.1038/srep46687</w:t>
      </w:r>
    </w:p>
    <w:p w14:paraId="6A981E4B">
      <w:pPr>
        <w:ind w:left="454" w:hanging="454"/>
      </w:pPr>
      <w:r>
        <w:rPr>
          <w:rFonts w:ascii="Times New Roman" w:hAnsi="Times New Roman"/>
          <w:b w:val="0"/>
          <w:i w:val="0"/>
          <w:sz w:val="20"/>
        </w:rPr>
        <w:t>32. Lu L, Wan Z, Luo T, Fu Z, Jin Y. Polystyrene microplastics induce gut microbiota dysbiosis and hepatic lipid metabolism disorder in mice. Sci Total Environ. 2018;631–632:449–458. doi:10.1016/j.scitotenv.2018.03.051</w:t>
      </w:r>
    </w:p>
    <w:p w14:paraId="69466E3C">
      <w:pPr>
        <w:ind w:left="454" w:hanging="454"/>
      </w:pPr>
      <w:r>
        <w:rPr>
          <w:rFonts w:ascii="Times New Roman" w:hAnsi="Times New Roman"/>
          <w:b w:val="0"/>
          <w:i w:val="0"/>
          <w:sz w:val="20"/>
        </w:rPr>
        <w:t>33. Stock V, Böhmert L, Lisber E, Block R, Cara-Carmona J, Pack LK, et al. Uptake and effects of orally ingested polystyrene microplastic particles in vitro and in vivo. Arch Toxicol. 2019;93(7):1817–1833. doi:10.1007/s00204-019-02478-7</w:t>
      </w:r>
    </w:p>
    <w:p w14:paraId="71D1C3BF">
      <w:pPr>
        <w:ind w:left="454" w:hanging="454"/>
      </w:pPr>
      <w:r>
        <w:rPr>
          <w:rFonts w:ascii="Times New Roman" w:hAnsi="Times New Roman"/>
          <w:b w:val="0"/>
          <w:i w:val="0"/>
          <w:sz w:val="20"/>
        </w:rPr>
        <w:t>34. Lu K, Lai KP, Stoeger T, Ji S, Lin Z, Lin X, et al. Detrimental effects of microplastic exposure on normal and asthmatic pulmonary physiology. J Hazard Mater. 2021;416:126069. doi:10.1016/j.jhazmat.2021.126069</w:t>
      </w:r>
    </w:p>
    <w:p w14:paraId="2FAD0457">
      <w:pPr>
        <w:ind w:left="454" w:hanging="454"/>
      </w:pPr>
      <w:r>
        <w:rPr>
          <w:rFonts w:ascii="Times New Roman" w:hAnsi="Times New Roman"/>
          <w:b w:val="0"/>
          <w:i w:val="0"/>
          <w:sz w:val="20"/>
        </w:rPr>
        <w:t>35. Vianello A, Jensen RL, Liu L, Vollertsen J. Simulating human exposure to indoor airborne microplastics using a breathing thermal manikin. Sci Rep. 2019;9(1):8670. doi:10.1038/s41598-019-45054-w</w:t>
      </w:r>
    </w:p>
    <w:p w14:paraId="70ABEC77">
      <w:pPr>
        <w:ind w:left="454" w:hanging="454"/>
      </w:pPr>
      <w:r>
        <w:rPr>
          <w:rFonts w:ascii="Times New Roman" w:hAnsi="Times New Roman"/>
          <w:b w:val="0"/>
          <w:i w:val="0"/>
          <w:sz w:val="20"/>
        </w:rPr>
        <w:t>36. Walczak AP, Hendriksen PJM, Woutersen RA, van der Zande M, Undas AK, Musber R, et al. Bioavailability and biodistribution of differently charged polystyrene nanoparticles upon oral exposure in rats. J Nanopart Res. 2015;17:231. doi:10.1007/s11051-015-3029-y</w:t>
      </w:r>
    </w:p>
    <w:p w14:paraId="1A36C114">
      <w:pPr>
        <w:ind w:left="454" w:hanging="454"/>
      </w:pPr>
      <w:r>
        <w:rPr>
          <w:rFonts w:ascii="Times New Roman" w:hAnsi="Times New Roman"/>
          <w:b w:val="0"/>
          <w:i w:val="0"/>
          <w:sz w:val="20"/>
        </w:rPr>
        <w:t>37. Suk JS, Xu Q, Kim N, Hanes J, Ensign LM. PEGylation as a strategy for improving nanoparticle-based drug and gene delivery. Adv Drug Deliv Rev. 2016;99(Pt A):28–51. doi:10.1016/j.addr.2015.09.012</w:t>
      </w:r>
    </w:p>
    <w:p w14:paraId="284ECFB0">
      <w:pPr>
        <w:ind w:left="454" w:hanging="454"/>
      </w:pPr>
      <w:r>
        <w:rPr>
          <w:rFonts w:ascii="Times New Roman" w:hAnsi="Times New Roman"/>
          <w:b w:val="0"/>
          <w:i w:val="0"/>
          <w:sz w:val="20"/>
        </w:rPr>
        <w:t>38. Schwabl P, Köppel S, Königshofer P, Bucsics T, Trauner M, Reiberger T, et al. Detection of various microplastics in human stool: a prospective case series. Ann Intern Med. 2019;171(7):453–457. doi:10.7326/M19-0618</w:t>
      </w:r>
    </w:p>
    <w:p w14:paraId="5F7786E7">
      <w:pPr>
        <w:ind w:left="454" w:hanging="454"/>
      </w:pPr>
      <w:r>
        <w:rPr>
          <w:rFonts w:ascii="Times New Roman" w:hAnsi="Times New Roman"/>
          <w:b w:val="0"/>
          <w:i w:val="0"/>
          <w:sz w:val="20"/>
        </w:rPr>
        <w:t>39. Choi HS, Liu W, Misra P, Tanaka E, Zimmer JP, Itty Ipe B, et al. Renal clearance of quantum dots. Nat Biotechnol. 2007;25(10):1165–1170. doi:10.1038/nbt1340</w:t>
      </w:r>
    </w:p>
    <w:p w14:paraId="0214A5A9">
      <w:pPr>
        <w:ind w:left="454" w:hanging="454"/>
      </w:pPr>
      <w:r>
        <w:rPr>
          <w:rFonts w:ascii="Times New Roman" w:hAnsi="Times New Roman"/>
          <w:b w:val="0"/>
          <w:i w:val="0"/>
          <w:sz w:val="20"/>
        </w:rPr>
        <w:t>40. Kopatz V, Wen K, Kovács T, Keber AS, Gasber V, Vollnhofer N, et al. Micro- and nanoplastics breach the blood-brain barrier (BBB): biomolecular corona's role revealed. Nanomaterials (Basel). 2023;13(8):1404. doi:10.3390/nano13081404</w:t>
      </w:r>
    </w:p>
    <w:p w14:paraId="4BB3579F">
      <w:pPr>
        <w:ind w:left="454" w:hanging="454"/>
      </w:pPr>
      <w:r>
        <w:rPr>
          <w:rFonts w:ascii="Times New Roman" w:hAnsi="Times New Roman"/>
          <w:b w:val="0"/>
          <w:i w:val="0"/>
          <w:sz w:val="20"/>
        </w:rPr>
        <w:t>41. Nihart AJ, Garcia MA, Liu R, Godoy Vitorino F, Garcia-Maldonado E, Orengo-Orengo L, et al. Bioaccumulation of microplastics in decedent human brains. Nat Med. 2025;31(4):1114–1119. doi:10.1038/s41591-024-03453-1</w:t>
      </w:r>
    </w:p>
    <w:p w14:paraId="132E07B4">
      <w:pPr>
        <w:ind w:left="454" w:hanging="454"/>
      </w:pPr>
      <w:r>
        <w:rPr>
          <w:rFonts w:ascii="Times New Roman" w:hAnsi="Times New Roman"/>
          <w:b w:val="0"/>
          <w:i w:val="0"/>
          <w:sz w:val="20"/>
        </w:rPr>
        <w:t>42. Jin H, Ma T, Sha X, Liu Z, Zhou Y, Meng X, et al. Polystyrene microplastics induced male reproductive toxicity in mice. J Hazard Mater. 2021;401:123430. doi:10.1016/j.jhazmat.2020.123430</w:t>
      </w:r>
    </w:p>
    <w:p w14:paraId="4ACDDEAB">
      <w:pPr>
        <w:ind w:left="454" w:hanging="454"/>
      </w:pPr>
      <w:r>
        <w:rPr>
          <w:rFonts w:ascii="Times New Roman" w:hAnsi="Times New Roman"/>
          <w:b w:val="0"/>
          <w:i w:val="0"/>
          <w:sz w:val="20"/>
        </w:rPr>
        <w:t>43. Wick P, Malek A, Manser P, Meili D, Maeder-Althaus X, Diber L, et al. Barrier capacity of human placenta for nanosized materials. Environ Health Perspect. 2010;118(3):432–436. doi:10.1289/ehp.0901200</w:t>
      </w:r>
    </w:p>
    <w:p w14:paraId="28A59B55">
      <w:pPr>
        <w:ind w:left="454" w:hanging="454"/>
      </w:pPr>
      <w:r>
        <w:rPr>
          <w:rFonts w:ascii="Times New Roman" w:hAnsi="Times New Roman"/>
          <w:b w:val="0"/>
          <w:i w:val="0"/>
          <w:sz w:val="20"/>
        </w:rPr>
        <w:t>44. Ragusa A, Svelato A, Santacroce C, Catalano P, Notarstefano V, Carnevali O, et al. Plasticenta: first evidence of microplastics in human placenta. Environ Int. 2021;146:106274. doi:10.1016/j.envint.2020.106274</w:t>
      </w:r>
    </w:p>
    <w:p w14:paraId="63C2BD9F">
      <w:pPr>
        <w:ind w:left="454" w:hanging="454"/>
      </w:pPr>
      <w:r>
        <w:rPr>
          <w:rFonts w:ascii="Times New Roman" w:hAnsi="Times New Roman"/>
          <w:b w:val="0"/>
          <w:i w:val="0"/>
          <w:sz w:val="20"/>
        </w:rPr>
        <w:t>45. Turner JR. Intestinal mucosal barrier function in health and disease. Nat Rev Immunol. 2009;9(11):799–809. doi:10.1038/nri2653</w:t>
      </w:r>
    </w:p>
    <w:p w14:paraId="2236CE3B">
      <w:pPr>
        <w:ind w:left="454" w:hanging="454"/>
      </w:pPr>
      <w:r>
        <w:rPr>
          <w:rFonts w:ascii="Times New Roman" w:hAnsi="Times New Roman"/>
          <w:b w:val="0"/>
          <w:i w:val="0"/>
          <w:sz w:val="20"/>
        </w:rPr>
        <w:t>46. Jani P, Halbert GW, Langridge J, Florence AT. Nanoparticle uptake by the rat gastrointestinal mucosa: quantitation and particle size dependency. J Pharm Pharmacol. 1990;42(12):821–826. doi:10.1111/j.2042-7158.1990.tb07033.x</w:t>
      </w:r>
    </w:p>
    <w:p w14:paraId="3FD321C3">
      <w:pPr>
        <w:ind w:left="454" w:hanging="454"/>
      </w:pPr>
      <w:r>
        <w:rPr>
          <w:rFonts w:ascii="Times New Roman" w:hAnsi="Times New Roman"/>
          <w:b w:val="0"/>
          <w:i w:val="0"/>
          <w:sz w:val="20"/>
        </w:rPr>
        <w:t>47. Walczak AP, Kramer E, Hendriksen PJM, Tromp P, Helsper JPFG, van der Zande M, et al. Translocation of differently sized and charged polystyrene nanoparticles in in vitro intestinal cell models of increasing complexity. Nanotoxicology. 2015;9(4):453–461. doi:10.3109/17435390.2014.944599</w:t>
      </w:r>
    </w:p>
    <w:p w14:paraId="579DAD4A">
      <w:pPr>
        <w:ind w:left="454" w:hanging="454"/>
      </w:pPr>
      <w:r>
        <w:rPr>
          <w:rFonts w:ascii="Times New Roman" w:hAnsi="Times New Roman"/>
          <w:b w:val="0"/>
          <w:i w:val="0"/>
          <w:sz w:val="20"/>
        </w:rPr>
        <w:t>48. des Rieux A, Ragnarsson EGE, Gullberg E, Préat V, Schneider YJ, Artursson P. Transport of nanoparticles across an in vitro model of the human intestinal follicle associated epithelium. Eur J Pharm Sci. 2005;25(4–5):455–465. doi:10.1016/j.ejps.2005.04.015</w:t>
      </w:r>
    </w:p>
    <w:p w14:paraId="1E3448B4">
      <w:pPr>
        <w:ind w:left="454" w:hanging="454"/>
      </w:pPr>
      <w:r>
        <w:rPr>
          <w:rFonts w:ascii="Times New Roman" w:hAnsi="Times New Roman"/>
          <w:b w:val="0"/>
          <w:i w:val="0"/>
          <w:sz w:val="20"/>
        </w:rPr>
        <w:t>49. Luo T, Wang C, Pan Z, Jin C, Fu Z, Jin Y. Maternal polystyrene microplastic exposure during gestation and lactation altered metabolic homeostasis in the dams and their F1 and F2 offspring. Environ Sci Technol. 2019;53(18):10978–10992. doi:10.1021/acs.est.9b03191</w:t>
      </w:r>
    </w:p>
    <w:p w14:paraId="1B9C60D1">
      <w:pPr>
        <w:ind w:left="454" w:hanging="454"/>
      </w:pPr>
      <w:r>
        <w:rPr>
          <w:rFonts w:ascii="Times New Roman" w:hAnsi="Times New Roman"/>
          <w:b w:val="0"/>
          <w:i w:val="0"/>
          <w:sz w:val="20"/>
        </w:rPr>
        <w:t>50. Hesler M, Aengenheister L, Ellinger B, Drexel R, Straskraba S, Jost C, et al. Multi-endpoint toxicological assessment of polystyrene nano- and microparticles in different biological models in vitro. Toxicol In Vitro. 2019;61:104610. doi:10.1016/j.tiv.2019.104610</w:t>
      </w:r>
    </w:p>
    <w:p w14:paraId="62929A21">
      <w:pPr>
        <w:ind w:left="454" w:hanging="454"/>
      </w:pPr>
      <w:r>
        <w:rPr>
          <w:rFonts w:ascii="Times New Roman" w:hAnsi="Times New Roman"/>
          <w:b w:val="0"/>
          <w:i w:val="0"/>
          <w:sz w:val="20"/>
        </w:rPr>
        <w:t>51. Stock V, Fahrenson C, Thuenemann A, Dönmez MH, Böhmert L, Liese S, et al. Impact of artificial digestion on the sizes and shapes of microplastic particles. Food Chem Toxicol. 2020;135:111010. doi:10.1016/j.fct.2019.111010</w:t>
      </w:r>
    </w:p>
    <w:p w14:paraId="16CBA8C8">
      <w:pPr>
        <w:ind w:left="454" w:hanging="454"/>
      </w:pPr>
      <w:r>
        <w:rPr>
          <w:rFonts w:ascii="Times New Roman" w:hAnsi="Times New Roman"/>
          <w:b w:val="0"/>
          <w:i w:val="0"/>
          <w:sz w:val="20"/>
        </w:rPr>
        <w:t>52. Lai SK, Wang YY, Hanes J. Mucus-penetrating nanoparticles for drug and gene delivery to mucosal tissues. Adv Drug Deliv Rev. 2009;61(2):158–171. doi:10.1016/j.addr.2008.11.002</w:t>
      </w:r>
    </w:p>
    <w:p w14:paraId="07B4362C">
      <w:pPr>
        <w:ind w:left="454" w:hanging="454"/>
      </w:pPr>
      <w:r>
        <w:rPr>
          <w:rFonts w:ascii="Times New Roman" w:hAnsi="Times New Roman"/>
          <w:b w:val="0"/>
          <w:i w:val="0"/>
          <w:sz w:val="20"/>
        </w:rPr>
        <w:t>53. Weibel ER. Morphometry of the Human Lung. Berlin: Springer; 1963. doi:10.1007/978-3-642-87553-3</w:t>
      </w:r>
    </w:p>
    <w:p w14:paraId="47FB19E1">
      <w:pPr>
        <w:ind w:left="454" w:hanging="454"/>
      </w:pPr>
      <w:r>
        <w:rPr>
          <w:rFonts w:ascii="Times New Roman" w:hAnsi="Times New Roman"/>
          <w:b w:val="0"/>
          <w:i w:val="0"/>
          <w:sz w:val="20"/>
        </w:rPr>
        <w:t>54. International Commission on Radiological Protection (ICRP). Human respiratory tract model for radiological protection. ICRP Publication 66. Ann ICRP. 1994;24(1–3):1–482.</w:t>
      </w:r>
    </w:p>
    <w:p w14:paraId="2CC1B8F0">
      <w:pPr>
        <w:ind w:left="454" w:hanging="454"/>
      </w:pPr>
      <w:r>
        <w:rPr>
          <w:rFonts w:ascii="Times New Roman" w:hAnsi="Times New Roman"/>
          <w:b w:val="0"/>
          <w:i w:val="0"/>
          <w:sz w:val="20"/>
        </w:rPr>
        <w:t>55. Möller W, Felten K, Sommerer K, Scheuch G, Meyer G, Meyer P, et al. Deposition, retention, and translocation of ultrafine particles from the central airways and lung periphery. Am J Respir Crit Care Med. 2008;177(4):426–432. doi:10.1164/rccm.200602-301OC</w:t>
      </w:r>
    </w:p>
    <w:p w14:paraId="4E8DAD1D">
      <w:pPr>
        <w:ind w:left="454" w:hanging="454"/>
      </w:pPr>
      <w:r>
        <w:rPr>
          <w:rFonts w:ascii="Times New Roman" w:hAnsi="Times New Roman"/>
          <w:b w:val="0"/>
          <w:i w:val="0"/>
          <w:sz w:val="20"/>
        </w:rPr>
        <w:t>56. Kreyling WG, Hirn S, Möller W, Schleh C, Wenk A, Celik G, et al. Air-blood barrier translocation of tracheally instilled gold nanoparticles inversely depends on particle size. ACS Nano. 2014;8(1):222–233. doi:10.1021/nn403256v</w:t>
      </w:r>
    </w:p>
    <w:p w14:paraId="4AAF40F8">
      <w:pPr>
        <w:ind w:left="454" w:hanging="454"/>
      </w:pPr>
      <w:r>
        <w:rPr>
          <w:rFonts w:ascii="Times New Roman" w:hAnsi="Times New Roman"/>
          <w:b w:val="0"/>
          <w:i w:val="0"/>
          <w:sz w:val="20"/>
        </w:rPr>
        <w:t>57. Oberdörster G, Oberdörster E, Oberdörster J. Nanotoxicology: an emerging discipline evolving from studies of ultrafine particles. Environ Health Perspect. 2005;113(7):823–839. doi:10.1289/ehp.7339</w:t>
      </w:r>
    </w:p>
    <w:p w14:paraId="56D85567">
      <w:pPr>
        <w:ind w:left="454" w:hanging="454"/>
      </w:pPr>
      <w:r>
        <w:rPr>
          <w:rFonts w:ascii="Times New Roman" w:hAnsi="Times New Roman"/>
          <w:b w:val="0"/>
          <w:i w:val="0"/>
          <w:sz w:val="20"/>
        </w:rPr>
        <w:t>58. Donaldson K, Murphy FA, Duffin R, Poland CA. Asbestos, carbon nanotubes and the pleural mesothelium: a review of the hypothesis regarding the role of long fibre retention in the parietal pleura, inflammation and mesothelioma. Part Fibre Toxicol. 2010;7:5. doi:10.1186/1743-8977-7-5</w:t>
      </w:r>
    </w:p>
    <w:p w14:paraId="1B630008">
      <w:pPr>
        <w:ind w:left="454" w:hanging="454"/>
      </w:pPr>
      <w:r>
        <w:rPr>
          <w:rFonts w:ascii="Times New Roman" w:hAnsi="Times New Roman"/>
          <w:b w:val="0"/>
          <w:i w:val="0"/>
          <w:sz w:val="20"/>
        </w:rPr>
        <w:t>59. Abbott NJ, Patabendige AAK, Dolman DEM, Yusof SR, Begley DJ. Structure and function of the blood-brain barrier. Neurobiol Dis. 2010;37(1):13–25. doi:10.1016/j.nbd.2009.07.030</w:t>
      </w:r>
    </w:p>
    <w:p w14:paraId="28F8F356">
      <w:pPr>
        <w:ind w:left="454" w:hanging="454"/>
      </w:pPr>
      <w:r>
        <w:rPr>
          <w:rFonts w:ascii="Times New Roman" w:hAnsi="Times New Roman"/>
          <w:b w:val="0"/>
          <w:i w:val="0"/>
          <w:sz w:val="20"/>
        </w:rPr>
        <w:t>60. Shan S, Zhang Y, Zhao H, Zeng T, Zhao X. Polystyrene nanoplastics penetrate across the blood-brain barrier and induce activation of microglia in the brain of mice. Chemosphere. 2022;298:134261. doi:10.1016/j.chemosphere.2022.134261</w:t>
      </w:r>
    </w:p>
    <w:p w14:paraId="2F470888">
      <w:pPr>
        <w:ind w:left="454" w:hanging="454"/>
      </w:pPr>
      <w:r>
        <w:rPr>
          <w:rFonts w:ascii="Times New Roman" w:hAnsi="Times New Roman"/>
          <w:b w:val="0"/>
          <w:i w:val="0"/>
          <w:sz w:val="20"/>
        </w:rPr>
        <w:t>61. Teleanu DM, Chircov C, Grumezescu AM, Volceanov A, Teleanu RI. Blood-brain delivery methods using nanotechnology. Pharmaceutics. 2018;10(4):269. doi:10.3390/pharmaceutics10040269</w:t>
      </w:r>
    </w:p>
    <w:p w14:paraId="728A9321">
      <w:pPr>
        <w:ind w:left="454" w:hanging="454"/>
      </w:pPr>
      <w:r>
        <w:rPr>
          <w:rFonts w:ascii="Times New Roman" w:hAnsi="Times New Roman"/>
          <w:b w:val="0"/>
          <w:i w:val="0"/>
          <w:sz w:val="20"/>
        </w:rPr>
        <w:t>62. Grafmueller S, Manser P, Diber L, Diber A, Jochum W, Krug HF, et al. Bidirectional transfer study of polystyrene nanoparticles across the placental barrier in an ex vivo human placental perfusion model. Environ Health Perspect. 2015;123(12):1280–1286. doi:10.1289/ehp.1409271</w:t>
      </w:r>
    </w:p>
    <w:p w14:paraId="4EC9A52C">
      <w:pPr>
        <w:ind w:left="454" w:hanging="454"/>
      </w:pPr>
      <w:r>
        <w:rPr>
          <w:rFonts w:ascii="Times New Roman" w:hAnsi="Times New Roman"/>
          <w:b w:val="0"/>
          <w:i w:val="0"/>
          <w:sz w:val="20"/>
        </w:rPr>
        <w:t>63. Halfar J, Čabanová K, Vávra K, Delongová P, Motyka O, Špaček R, et al. Microplastics and additives in patients with preterm birth: the first evidence of their presence in both human amniotic fluid and placenta. Chemosphere. 2023;343:140301. doi:10.1016/j.chemosphere.2023.140301</w:t>
      </w:r>
    </w:p>
    <w:p w14:paraId="73DAD004">
      <w:pPr>
        <w:ind w:left="454" w:hanging="454"/>
      </w:pPr>
      <w:r>
        <w:rPr>
          <w:rFonts w:ascii="Times New Roman" w:hAnsi="Times New Roman"/>
          <w:b w:val="0"/>
          <w:i w:val="0"/>
          <w:sz w:val="20"/>
        </w:rPr>
        <w:t>64. Rejman J, Oberle V, Zuhorn IS, Hoekstra D. Size-dependent internalization of particles via the pathways of clathrin- and caveolae-mediated endocytosis. Biochem J. 2004;377(Pt 1):159–169. doi:10.1042/BJ20031253</w:t>
      </w:r>
    </w:p>
    <w:p w14:paraId="00612908">
      <w:pPr>
        <w:ind w:left="454" w:hanging="454"/>
      </w:pPr>
      <w:r>
        <w:rPr>
          <w:rFonts w:ascii="Times New Roman" w:hAnsi="Times New Roman"/>
          <w:b w:val="0"/>
          <w:i w:val="0"/>
          <w:sz w:val="20"/>
        </w:rPr>
        <w:t>65. Parton RG, del Pozo MA. Caveolae as plasma membrane sensors, protectors and organizers. Nat Rev Mol Cell Biol. 2013;14(2):98–112. doi:10.1038/nrm3512</w:t>
      </w:r>
    </w:p>
    <w:p w14:paraId="07BD6C87">
      <w:pPr>
        <w:ind w:left="454" w:hanging="454"/>
      </w:pPr>
      <w:r>
        <w:rPr>
          <w:rFonts w:ascii="Times New Roman" w:hAnsi="Times New Roman"/>
          <w:b w:val="0"/>
          <w:i w:val="0"/>
          <w:sz w:val="20"/>
        </w:rPr>
        <w:t>66. Lim JP, Gleeson PA. Macropinocytosis: an endocytic pathway for internalising large gulps. Immunol Cell Biol. 2011;89(8):836–843. doi:10.1038/icb.2011.20</w:t>
      </w:r>
    </w:p>
    <w:p w14:paraId="67D9828F">
      <w:pPr>
        <w:ind w:left="454" w:hanging="454"/>
      </w:pPr>
      <w:r>
        <w:rPr>
          <w:rFonts w:ascii="Times New Roman" w:hAnsi="Times New Roman"/>
          <w:b w:val="0"/>
          <w:i w:val="0"/>
          <w:sz w:val="20"/>
        </w:rPr>
        <w:t>67. Gustafson HH, Holt-Casper D, Grainger DW, Ghandehari H. Nanoparticle uptake: the phagocyte problem. Nano Today. 2015;10(4):487–510. doi:10.1016/j.nantod.2015.06.006</w:t>
      </w:r>
    </w:p>
    <w:p w14:paraId="6D7FE85F">
      <w:pPr>
        <w:ind w:left="454" w:hanging="454"/>
      </w:pPr>
      <w:r>
        <w:rPr>
          <w:rFonts w:ascii="Times New Roman" w:hAnsi="Times New Roman"/>
          <w:b w:val="0"/>
          <w:i w:val="0"/>
          <w:sz w:val="20"/>
        </w:rPr>
        <w:t>68. Monopoli MP, Åberg C, Salvati A, Dawson KA. Biomolecular coronas provide the biological identity of nanosized materials. Nat Nanotechnol. 2012;7(12):779–786. doi:10.1038/nnano.2012.207</w:t>
      </w:r>
    </w:p>
    <w:p w14:paraId="1CDBD00F">
      <w:pPr>
        <w:ind w:left="454" w:hanging="454"/>
      </w:pPr>
      <w:r>
        <w:rPr>
          <w:rFonts w:ascii="Times New Roman" w:hAnsi="Times New Roman"/>
          <w:b w:val="0"/>
          <w:i w:val="0"/>
          <w:sz w:val="20"/>
        </w:rPr>
        <w:t>69. Shen MC, Zhang YX, Zhu Y, Song B, Zeng GM, Hu DF, et al. Recent advances in toxicological research of nanoplastics in the environment: a review. Environ Pollut. 2019;252(Pt A):511–521. doi:10.1016/j.envpol.2019.05.102</w:t>
      </w:r>
    </w:p>
    <w:p w14:paraId="1E2184F6">
      <w:pPr>
        <w:ind w:left="454" w:hanging="454"/>
      </w:pPr>
      <w:r>
        <w:rPr>
          <w:rFonts w:ascii="Times New Roman" w:hAnsi="Times New Roman"/>
          <w:b w:val="0"/>
          <w:i w:val="0"/>
          <w:sz w:val="20"/>
        </w:rPr>
        <w:t>70. Li B, Ding Y, Cheng X, Sheng D, Xu Z, Rong Q, et al. Polyethylene microplastics affect the distribution of gut microbiota and inflammation development in mice. Chemosphere. 2020;244:125492. doi:10.1016/j.chemosphere.2019.125492</w:t>
      </w:r>
    </w:p>
    <w:p w14:paraId="69E1E527">
      <w:pPr>
        <w:ind w:left="454" w:hanging="454"/>
      </w:pPr>
      <w:r>
        <w:rPr>
          <w:rFonts w:ascii="Times New Roman" w:hAnsi="Times New Roman"/>
          <w:b w:val="0"/>
          <w:i w:val="0"/>
          <w:sz w:val="20"/>
        </w:rPr>
        <w:t>71. Rossi G, Barnoud J, Monticelli L. Polystyrene nanoparticles perturb lipid membranes. J Phys Chem Lett. 2014;5(1):241–246. doi:10.1021/jz402234c</w:t>
      </w:r>
    </w:p>
    <w:p w14:paraId="292DDA92">
      <w:pPr>
        <w:ind w:left="454" w:hanging="454"/>
      </w:pPr>
      <w:r>
        <w:rPr>
          <w:rFonts w:ascii="Times New Roman" w:hAnsi="Times New Roman"/>
          <w:b w:val="0"/>
          <w:i w:val="0"/>
          <w:sz w:val="20"/>
        </w:rPr>
        <w:t>72. Mabbott NA, Donaldson DS, Ohno H, Williams IR, Mahajan A. Microfold (M) cells: important immunosurveillance posts in the intestinal epithelium. Mucosal Immunol. 2013;6(4):666–677. doi:10.1038/mi.2013.30</w:t>
      </w:r>
    </w:p>
    <w:p w14:paraId="2662D625">
      <w:pPr>
        <w:ind w:left="454" w:hanging="454"/>
      </w:pPr>
      <w:r>
        <w:rPr>
          <w:rFonts w:ascii="Times New Roman" w:hAnsi="Times New Roman"/>
          <w:b w:val="0"/>
          <w:i w:val="0"/>
          <w:sz w:val="20"/>
        </w:rPr>
        <w:t>73. Brayden DJ, Jepson MA, Baird AW. Keynote review: intestinal Peyer's patch M cells and oral vaccine targeting. Drug Discov Today. 2005;10(17):1145–1157. doi:10.1016/S1359-6446(05)03536-1</w:t>
      </w:r>
    </w:p>
    <w:p w14:paraId="30495C55">
      <w:pPr>
        <w:ind w:left="454" w:hanging="454"/>
      </w:pPr>
      <w:r>
        <w:rPr>
          <w:rFonts w:ascii="Times New Roman" w:hAnsi="Times New Roman"/>
          <w:b w:val="0"/>
          <w:i w:val="0"/>
          <w:sz w:val="20"/>
        </w:rPr>
        <w:t>74. Florence AT. Nanoparticle uptake by the oral route: fulfilling its promise? Drug Discov Today Technol. 2005;2(1):75–81. doi:10.1016/j.ddtec.2005.05.019</w:t>
      </w:r>
    </w:p>
    <w:p w14:paraId="67DBC62F">
      <w:pPr>
        <w:ind w:left="454" w:hanging="454"/>
      </w:pPr>
      <w:r>
        <w:rPr>
          <w:rFonts w:ascii="Times New Roman" w:hAnsi="Times New Roman"/>
          <w:b w:val="0"/>
          <w:i w:val="0"/>
          <w:sz w:val="20"/>
        </w:rPr>
        <w:t>75. des Rieux A, Fievez V, Garinot M, Schneider YJ, Préat V. Nanoparticles as potential oral delivery systems of proteins and vaccines: a mechanistic approach. J Control Release. 2006;116(1):1–27. doi:10.1016/j.jconrel.2006.08.013</w:t>
      </w:r>
    </w:p>
    <w:p w14:paraId="7319D2FD">
      <w:pPr>
        <w:ind w:left="454" w:hanging="454"/>
      </w:pPr>
      <w:r>
        <w:rPr>
          <w:rFonts w:ascii="Times New Roman" w:hAnsi="Times New Roman"/>
          <w:b w:val="0"/>
          <w:i w:val="0"/>
          <w:sz w:val="20"/>
        </w:rPr>
        <w:t>76. Prata JC, da Costa JP, Lopes I, Duarte AC, Rocha-Santos T. Environmental exposure to microplastics: an overview on possible human health effects. Sci Total Environ. 2020;702:134455. doi:10.1016/j.scitotenv.2019.134455</w:t>
      </w:r>
    </w:p>
    <w:p w14:paraId="60965F90">
      <w:pPr>
        <w:ind w:left="454" w:hanging="454"/>
      </w:pPr>
      <w:r>
        <w:rPr>
          <w:rFonts w:ascii="Times New Roman" w:hAnsi="Times New Roman"/>
          <w:b w:val="0"/>
          <w:i w:val="0"/>
          <w:sz w:val="20"/>
        </w:rPr>
        <w:t>77. Geyer R, Jambeck JR, Law KL. Production, use, and fate of all plastics ever made. Sci Adv. 2017;3(7):e1700782. doi:10.1126/sciadv.1700782</w:t>
      </w:r>
    </w:p>
    <w:p w14:paraId="4B6AFB6E">
      <w:pPr>
        <w:ind w:left="454" w:hanging="454"/>
      </w:pPr>
      <w:r>
        <w:rPr>
          <w:rFonts w:ascii="Times New Roman" w:hAnsi="Times New Roman"/>
          <w:b w:val="0"/>
          <w:i w:val="0"/>
          <w:sz w:val="20"/>
        </w:rPr>
        <w:t>78. Mohamed Nor NH, Kooi M, Diepens NJ, Koelmans AA. Lifetime accumulation of microplastic in children and adults. Environ Sci Technol. 2021;55(8):5084–5096. doi:10.1021/acs.est.0c07384</w:t>
      </w:r>
    </w:p>
    <w:p w14:paraId="6C93029D">
      <w:pPr>
        <w:ind w:left="454" w:hanging="454"/>
      </w:pPr>
      <w:r>
        <w:rPr>
          <w:rFonts w:ascii="Times New Roman" w:hAnsi="Times New Roman"/>
          <w:b w:val="0"/>
          <w:i w:val="0"/>
          <w:sz w:val="20"/>
        </w:rPr>
        <w:t>79. Boyer JL. Bile formation and secretion. Compr Physiol. 2013;3(3):1035–1078. doi:10.1002/cphy.c120027</w:t>
      </w:r>
    </w:p>
    <w:p w14:paraId="68DF4BFA">
      <w:pPr>
        <w:ind w:left="454" w:hanging="454"/>
      </w:pPr>
      <w:r>
        <w:rPr>
          <w:rFonts w:ascii="Times New Roman" w:hAnsi="Times New Roman"/>
          <w:b w:val="0"/>
          <w:i w:val="0"/>
          <w:sz w:val="20"/>
        </w:rPr>
        <w:t>80. Arslan B, Islamoğlu Y, Berçin AS, Akbulut S, Melikoğlu M. Detection and quantification of microplastics in cerumen. Turk J Med Sci. 2025;55(3):e6043. doi:10.55730/1300-0144.6043</w:t>
      </w:r>
    </w:p>
    <w:p w14:paraId="447261EF">
      <w:pPr>
        <w:ind w:left="454" w:hanging="454"/>
      </w:pPr>
      <w:r>
        <w:rPr>
          <w:rFonts w:ascii="Times New Roman" w:hAnsi="Times New Roman"/>
          <w:b w:val="0"/>
          <w:i w:val="0"/>
          <w:sz w:val="20"/>
        </w:rPr>
        <w:t>81. Saraluck A, Techarang T, Bunyapipat P, Boonchuwong K, Pullaput Y, Mordmuang A. Detection of microplastics in human breast milk and its association with changes in human milk bacterial microbiota. J Clin Med. 2024;13(14):4029. doi:10.3390/jcm13144029</w:t>
      </w:r>
    </w:p>
    <w:p w14:paraId="6958320E">
      <w:pPr>
        <w:ind w:left="454" w:hanging="454"/>
      </w:pPr>
      <w:r>
        <w:rPr>
          <w:rFonts w:ascii="Times New Roman" w:hAnsi="Times New Roman"/>
          <w:b w:val="0"/>
          <w:i w:val="0"/>
          <w:sz w:val="20"/>
        </w:rPr>
        <w:t>82. Tokiwa Y, Calabia BP, Ugwu CU, Aiba S. Biodegradability of plastics. Int J Mol Sci. 2009;10(9):3722–3742. doi:10.3390/ijms10093722</w:t>
      </w:r>
    </w:p>
    <w:p w14:paraId="4D5C9D43">
      <w:pPr>
        <w:ind w:left="454" w:hanging="454"/>
      </w:pPr>
      <w:r>
        <w:rPr>
          <w:rFonts w:ascii="Times New Roman" w:hAnsi="Times New Roman"/>
          <w:b w:val="0"/>
          <w:i w:val="0"/>
          <w:sz w:val="20"/>
        </w:rPr>
        <w:t>83. Shaw AC, Goldstein DR, Montgomery RR. Age-dependent dysregulation of innate immunity. Nat Rev Immunol. 2013;13(12):875–887. doi:10.1038/nri3547</w:t>
      </w:r>
    </w:p>
    <w:p w14:paraId="6005EB30">
      <w:pPr>
        <w:ind w:left="454" w:hanging="454"/>
      </w:pPr>
      <w:r>
        <w:rPr>
          <w:rFonts w:ascii="Times New Roman" w:hAnsi="Times New Roman"/>
          <w:b w:val="0"/>
          <w:i w:val="0"/>
          <w:sz w:val="20"/>
        </w:rPr>
        <w:t>84. Jones HM, Rowland-Yeo K. Basic concepts in physiologically based pharmacokinetic modeling in drug discovery and development. CPT Pharmacometrics Syst Pharmacol. 2013;2(8):e63. doi:10.1038/psp.2013.41</w:t>
      </w:r>
    </w:p>
    <w:p w14:paraId="291E050E">
      <w:pPr>
        <w:ind w:left="454" w:hanging="454"/>
      </w:pPr>
      <w:r>
        <w:rPr>
          <w:rFonts w:ascii="Times New Roman" w:hAnsi="Times New Roman"/>
          <w:b w:val="0"/>
          <w:i w:val="0"/>
          <w:sz w:val="20"/>
        </w:rPr>
        <w:t>85. Nestorov I. Whole body pharmacokinetic models. Clin Pharmacokinet. 2003;42(10):883–908. doi:10.2165/00003088-200342100-00002</w:t>
      </w:r>
    </w:p>
    <w:p w14:paraId="359511C5">
      <w:pPr>
        <w:ind w:left="454" w:hanging="454"/>
      </w:pPr>
      <w:r>
        <w:rPr>
          <w:rFonts w:ascii="Times New Roman" w:hAnsi="Times New Roman"/>
          <w:b w:val="0"/>
          <w:i w:val="0"/>
          <w:sz w:val="20"/>
        </w:rPr>
        <w:t>86. Li M, Al-Jamal KT, Kostarelos K, Reineke J. Physiologically based pharmacokinetic modeling of nanoparticles. ACS Nano. 2010;4(11):6303–6317. doi:10.1021/nn1018818</w:t>
      </w:r>
    </w:p>
    <w:p w14:paraId="7FD475A3">
      <w:pPr>
        <w:ind w:left="454" w:hanging="454"/>
      </w:pPr>
      <w:r>
        <w:rPr>
          <w:rFonts w:ascii="Times New Roman" w:hAnsi="Times New Roman"/>
          <w:b w:val="0"/>
          <w:i w:val="0"/>
          <w:sz w:val="20"/>
        </w:rPr>
        <w:t>87. Choi HS, Liu W, Liu F, Nasr K, Misra P, Bawendi MG, et al. Design considerations for tumour-targeted nanoparticles. Nat Nanotechnol. 2010;5(1):42–47. doi:10.1038/nnano.2009.314</w:t>
      </w:r>
    </w:p>
    <w:p w14:paraId="5A8E97A1">
      <w:pPr>
        <w:ind w:left="454" w:hanging="454"/>
      </w:pPr>
      <w:r>
        <w:rPr>
          <w:rFonts w:ascii="Times New Roman" w:hAnsi="Times New Roman"/>
          <w:b w:val="0"/>
          <w:i w:val="0"/>
          <w:sz w:val="20"/>
        </w:rPr>
        <w:t>88. Sadauskas E, Wallin H, Stoltenberg M, Vogel U, Doering P, Larsen A, et al. Kupffer cells are central in the removal of nanoparticles from the organism. Part Fibre Toxicol. 2007;4:10. doi:10.1186/1743-8977-4-10</w:t>
      </w:r>
    </w:p>
    <w:p w14:paraId="3EF47A16">
      <w:pPr>
        <w:ind w:left="454" w:hanging="454"/>
      </w:pPr>
      <w:r>
        <w:rPr>
          <w:rFonts w:ascii="Times New Roman" w:hAnsi="Times New Roman"/>
          <w:b w:val="0"/>
          <w:i w:val="0"/>
          <w:sz w:val="20"/>
        </w:rPr>
        <w:t>89. Lin Z, Monteiro-Riviere NA, Riviere JE. A physiologically based pharmacokinetic model for polyethylene glycol-coated gold nanoparticles of different sizes in adult mice. Nanotoxicology. 2016;10(2):162–172. doi:10.3109/17435390.2015.1027314</w:t>
      </w:r>
    </w:p>
    <w:p w14:paraId="76459F81">
      <w:pPr>
        <w:ind w:left="454" w:hanging="454"/>
      </w:pPr>
      <w:r>
        <w:rPr>
          <w:rFonts w:ascii="Times New Roman" w:hAnsi="Times New Roman"/>
          <w:b w:val="0"/>
          <w:i w:val="0"/>
          <w:sz w:val="20"/>
        </w:rPr>
        <w:t>90. Bachler G, von Goetz N, Hungerbühler K. Using physiologically based pharmacokinetic (PBPK) modeling for dietary risk assessment of titanium dioxide (TiO₂) nanoparticles. Nanotoxicology. 2015;9(3):373–380. doi:10.3109/17435390.2014.940404</w:t>
      </w:r>
    </w:p>
    <w:p w14:paraId="529A9FEC">
      <w:pPr>
        <w:ind w:left="454" w:hanging="454"/>
      </w:pPr>
      <w:r>
        <w:rPr>
          <w:rFonts w:ascii="Times New Roman" w:hAnsi="Times New Roman"/>
          <w:b w:val="0"/>
          <w:i w:val="0"/>
          <w:sz w:val="20"/>
        </w:rPr>
        <w:t>91. Meta-analysis data generated by systematic review pipeline. Search conducted January 15, 2026, across PubMed, Europe PMC, and OpenAlex. Random-effects meta-analysis (DerSimonian-Laird method) of 11 studies, N = 474. [Original analysis for this chapter.]</w:t>
      </w:r>
    </w:p>
    <w:p w14:paraId="7F662032">
      <w:pPr>
        <w:ind w:left="454" w:hanging="454"/>
      </w:pPr>
      <w:r>
        <w:rPr>
          <w:rFonts w:ascii="Times New Roman" w:hAnsi="Times New Roman"/>
          <w:b w:val="0"/>
          <w:i w:val="0"/>
          <w:sz w:val="20"/>
        </w:rPr>
        <w:t>92. Leonard SVL, Liddle CR, Atherall CA, Chapman E, Watkins M, Calaminus SDJ, et al. Microplastics in human blood: polymer types, concentrations and characterisation using μFTIR. Environ Int. 2024;189:108751. PMID:38761430. doi:10.1016/j.envint.2024.108751</w:t>
      </w:r>
    </w:p>
    <w:p w14:paraId="3AD9080C">
      <w:pPr>
        <w:ind w:left="454" w:hanging="454"/>
      </w:pPr>
      <w:r>
        <w:rPr>
          <w:rFonts w:ascii="Times New Roman" w:hAnsi="Times New Roman"/>
          <w:b w:val="0"/>
          <w:i w:val="0"/>
          <w:sz w:val="20"/>
        </w:rPr>
        <w:t>93. Leslie HA, van Velzen MJM, Brandsma SH, Kroesbergen J, Allen JG, Lamoree MH. Discovery and quantification of plastic particle pollution in human blood. Environ Int. 2022;163:107199. PMID:35367073. doi:10.1016/j.envint.2022.107199</w:t>
      </w:r>
    </w:p>
    <w:p w14:paraId="7CC51E19">
      <w:pPr>
        <w:ind w:left="454" w:hanging="454"/>
      </w:pPr>
      <w:r>
        <w:rPr>
          <w:rFonts w:ascii="Times New Roman" w:hAnsi="Times New Roman"/>
          <w:b w:val="0"/>
          <w:i w:val="0"/>
          <w:sz w:val="20"/>
        </w:rPr>
        <w:t>94. Padarya SK, Asati AA, Singh A, Saad T, Mishra S, Tripathi L. Bronchoalveolar lavage as a diagnostic window into human exposure to microplastics and associated lung changes. J Pharm Bioallied Sci. 2025. PMID:41523016. doi:10.4103/jpbs.jpbs_1095_25</w:t>
      </w:r>
    </w:p>
    <w:p w14:paraId="73F4307E">
      <w:pPr>
        <w:ind w:left="454" w:hanging="454"/>
      </w:pPr>
      <w:r>
        <w:rPr>
          <w:rFonts w:ascii="Times New Roman" w:hAnsi="Times New Roman"/>
          <w:b w:val="0"/>
          <w:i w:val="0"/>
          <w:sz w:val="20"/>
        </w:rPr>
        <w:t>95. Özgen Alpaydin A, Uçan ES, Köktürk M, Atamanalp M, Kalyoncu Ç, Yiğit S, et al. Microplastics, as a risk factor in the development of interstitial lung disease. Environ Pollut. 2024;361:125054. PMID:39368622. doi:10.1016/j.envpol.2024.125054</w:t>
      </w:r>
    </w:p>
    <w:p w14:paraId="58F5BC30">
      <w:pPr>
        <w:ind w:left="454" w:hanging="454"/>
      </w:pPr>
      <w:r>
        <w:rPr>
          <w:rFonts w:ascii="Times New Roman" w:hAnsi="Times New Roman"/>
          <w:b w:val="0"/>
          <w:i w:val="0"/>
          <w:sz w:val="20"/>
        </w:rPr>
        <w:t>96. Zakynthinos GE, Dimeas IE, Salmas C, Pagonis AD, Papanikolaou ID, Oikonomou E, et al. Detection of microplastics in human bronchoalveolar lavage fluid: preliminary evidence. Cureus. 2025;17(11):e97632. PMID:41450414. doi:10.7759/cureus.97632</w:t>
      </w:r>
    </w:p>
    <w:p w14:paraId="58190D2D">
      <w:pPr>
        <w:ind w:left="454" w:hanging="454"/>
      </w:pPr>
      <w:r>
        <w:rPr>
          <w:rFonts w:ascii="Times New Roman" w:hAnsi="Times New Roman"/>
          <w:b w:val="0"/>
          <w:i w:val="0"/>
          <w:sz w:val="20"/>
        </w:rPr>
        <w:t>97. Horvatits T, Tamminga M, Liu B, Schwarz M, Tzavaras S, Tiesmeyer M, et al. Microplastics detected in cirrhotic liver tissue. EBioMedicine. 2022;82:104147. doi:10.1016/j.ebiom.2022.104147</w:t>
      </w:r>
    </w:p>
    <w:p w14:paraId="14E81B20">
      <w:pPr>
        <w:ind w:left="454" w:hanging="454"/>
      </w:pPr>
      <w:r>
        <w:rPr>
          <w:rFonts w:ascii="Times New Roman" w:hAnsi="Times New Roman"/>
          <w:b w:val="0"/>
          <w:i w:val="0"/>
          <w:sz w:val="20"/>
        </w:rPr>
        <w:t>98. Ke D, Zheng J, Liu X, Xu X, Zhao L, Gu Y, et al. Occurrence of microplastics and disturbance of gut microbiota: a pilot study of preschool children in Xiamen, China. EBioMedicine. 2023;97:104828. PMID:37837933. doi:10.1016/j.ebiom.2023.104828</w:t>
      </w:r>
    </w:p>
    <w:p w14:paraId="6F919CFD">
      <w:pPr>
        <w:ind w:left="454" w:hanging="454"/>
      </w:pPr>
      <w:r>
        <w:rPr>
          <w:rFonts w:ascii="Times New Roman" w:hAnsi="Times New Roman"/>
          <w:b w:val="0"/>
          <w:i w:val="0"/>
          <w:sz w:val="20"/>
        </w:rPr>
        <w:t>99. Santini S, Exposito N, Sierra J, Cincinelli A, Rovira J. Set up and validation of a method to analyse microplastics in stool and small intestine samples. MethodsX. 2024;12:102777. PMID:38883588. doi:10.1016/j.mex.2024.102777</w:t>
      </w:r>
    </w:p>
    <w:p w14:paraId="13742B93">
      <w:pPr>
        <w:ind w:left="454" w:hanging="454"/>
      </w:pPr>
      <w:r>
        <w:rPr>
          <w:rFonts w:ascii="Times New Roman" w:hAnsi="Times New Roman"/>
          <w:b w:val="0"/>
          <w:i w:val="0"/>
          <w:sz w:val="20"/>
        </w:rPr>
        <w:t>100. Demirelli E, Tepe Y, Oğuz U, Aydın H, Kodat M, Tok DS, et al. The first reported values of microplastics in prostate. BMC Urol. 2024;24(1):106. PMID:38745203. doi:10.1186/s12894-024-01495-8</w:t>
      </w:r>
    </w:p>
    <w:p w14:paraId="46E9B6ED">
      <w:pPr>
        <w:ind w:left="454" w:hanging="454"/>
      </w:pPr>
      <w:r>
        <w:rPr>
          <w:rFonts w:ascii="Times New Roman" w:hAnsi="Times New Roman"/>
          <w:b w:val="0"/>
          <w:i w:val="0"/>
          <w:sz w:val="20"/>
        </w:rPr>
        <w:t>101. Qu J, Zeng J, Mou L, Wu X, Ha M, Liu C. Plastic tableware use, microplastic accumulation, and sperm quality: from epidemiological evidence to FOXA1/p38 mechanistic insights. J Nanobiotechnology. 2025;23:287. PMID:41068921. doi:10.1186/s12951-025-03747-7</w:t>
      </w:r>
    </w:p>
    <w:p w14:paraId="6221B4E2">
      <w:pPr>
        <w:ind w:left="454" w:hanging="454"/>
      </w:pPr>
      <w:r>
        <w:rPr>
          <w:rFonts w:ascii="Times New Roman" w:hAnsi="Times New Roman"/>
          <w:b w:val="0"/>
          <w:i w:val="0"/>
          <w:sz w:val="20"/>
        </w:rPr>
        <w:t>102. Nair AB, Jacob S. A simple practice guide for dose conversion between animals and human. J Basic Clin Pharm. 2016;7(2):27–31. doi:10.4103/0976-0105.177703</w:t>
      </w:r>
    </w:p>
    <w:p w14:paraId="143E24AB">
      <w:pPr>
        <w:ind w:left="454" w:hanging="454"/>
      </w:pPr>
      <w:r>
        <w:rPr>
          <w:rFonts w:ascii="Times New Roman" w:hAnsi="Times New Roman"/>
          <w:b w:val="0"/>
          <w:i w:val="0"/>
          <w:sz w:val="20"/>
        </w:rPr>
        <w:t>103. Lusher AL, Hollman PCH, Mendoza-Hill JJ. Microplastics in fisheries and aquaculture: status of knowledge on their occurrence and implications for aquatic organisms and food safety. FAO Fisheries and Aquaculture Technical Paper. No. 615. Rome: FAO; 2017.</w:t>
      </w:r>
    </w:p>
    <w:p w14:paraId="0C12A870">
      <w:pPr>
        <w:ind w:left="454" w:hanging="454"/>
      </w:pPr>
      <w:r>
        <w:rPr>
          <w:rFonts w:ascii="Times New Roman" w:hAnsi="Times New Roman"/>
          <w:b w:val="0"/>
          <w:i w:val="0"/>
          <w:sz w:val="20"/>
        </w:rPr>
        <w:t>104. Cox KD, Covernton GA, Davies HL, Dower JF, Juanes F, Dudas SE. Human consumption of microplastics. Environ Sci Technol. 2019;53(12):7068–7074. PMID:31184127. doi:10.1021/acs.est.9b01517</w:t>
      </w:r>
    </w:p>
    <w:p w14:paraId="5AC9E0E4">
      <w:pPr>
        <w:ind w:left="454" w:hanging="454"/>
      </w:pPr>
      <w:r>
        <w:rPr>
          <w:rFonts w:ascii="Times New Roman" w:hAnsi="Times New Roman"/>
          <w:b w:val="0"/>
          <w:i w:val="0"/>
          <w:sz w:val="20"/>
        </w:rPr>
        <w:t>105. Riviere JE. Pharmacokinetics of nanomaterials: an overview of carbon nanotubes, fullerenes and quantum dots. Wiley Interdiscip Rev Nanomed Nanobiotechnol. 2009;1(1):26–34. doi:10.1002/wnan.24</w:t>
      </w:r>
    </w:p>
    <w:p w14:paraId="1FE5BD14">
      <w:pPr>
        <w:ind w:left="454" w:hanging="454"/>
      </w:pPr>
      <w:r>
        <w:rPr>
          <w:rFonts w:ascii="Times New Roman" w:hAnsi="Times New Roman"/>
          <w:b w:val="0"/>
          <w:i w:val="0"/>
          <w:sz w:val="20"/>
        </w:rPr>
        <w:t>106. Dris R, Gasperi J, Mirande C, Mandin C, Guerrouache M, Langlois V, et al. A first overview of textile fibers, including microplastics, in indoor and outdoor environments. Environ Pollut. 2017;221:453–458. doi:10.1016/j.envpol.2016.12.013</w:t>
      </w:r>
    </w:p>
    <w:p w14:paraId="79B593E9">
      <w:pPr>
        <w:ind w:left="454" w:hanging="454"/>
      </w:pPr>
      <w:r>
        <w:rPr>
          <w:rFonts w:ascii="Times New Roman" w:hAnsi="Times New Roman"/>
          <w:b w:val="0"/>
          <w:i w:val="0"/>
          <w:sz w:val="20"/>
        </w:rPr>
        <w:t>107. Schneider M, Stracke F, Hansen S, Schaefer UF. Nanoparticles and their interactions with the dermal barrier. Dermatoendocrinol. 2009;1(4):197–206. doi:10.4161/derm.1.4.9501</w:t>
      </w:r>
    </w:p>
    <w:p w14:paraId="70E74762">
      <w:pPr>
        <w:ind w:left="454" w:hanging="454"/>
      </w:pPr>
      <w:r>
        <w:rPr>
          <w:rFonts w:ascii="Times New Roman" w:hAnsi="Times New Roman"/>
          <w:b w:val="0"/>
          <w:i w:val="0"/>
          <w:sz w:val="20"/>
        </w:rPr>
        <w:t>108. Fournier SB, D'Errico JN, Adler DS, Kollontzi S, Goedken MJ, Fabris L, et al. Nanopolystyrene translocation and fetal deposition after acute lung exposure during late-stage pregnancy. Part Fibre Toxicol. 2020;17(1):55. doi:10.1186/s12989-020-00385-9</w:t>
      </w:r>
    </w:p>
    <w:p w14:paraId="76E13EBC">
      <w:pPr>
        <w:pStyle w:val="4"/>
      </w:pPr>
      <w:r>
        <w:rPr>
          <w:rFonts w:ascii="Times New Roman" w:hAnsi="Times New Roman"/>
          <w:color w:val="000000"/>
        </w:rPr>
        <w:t>Figure Legends</w:t>
      </w:r>
    </w:p>
    <w:p w14:paraId="461D3AFC">
      <w:r>
        <w:rPr>
          <w:rFonts w:ascii="Times New Roman" w:hAnsi="Times New Roman"/>
          <w:b/>
          <w:i w:val="0"/>
          <w:sz w:val="24"/>
        </w:rPr>
        <w:t>Figure 8.1.</w:t>
      </w:r>
      <w:r>
        <w:rPr>
          <w:rFonts w:ascii="Times New Roman" w:hAnsi="Times New Roman"/>
          <w:b w:val="0"/>
          <w:i w:val="0"/>
          <w:sz w:val="24"/>
        </w:rPr>
        <w:t xml:space="preserve"> Schematic illustration of iMNP translocation mechanisms across the intestinal epithelial barrier. Three primary pathways are depicted: (A) Transcellular transport via clathrin-mediated, caveolae-mediated, and macropinocytic endocytosis in enterocytes; (B) Paracellular transport through tight junction disruption induced by inflammatory signaling and oxidative stress; (C) M-cell mediated transcytosis in Peyer's patch follicle-associated epithelium, with basolateral delivery to subepithelial dendritic cells and entry into lymphatic circulation.</w:t>
      </w:r>
    </w:p>
    <w:p w14:paraId="34A0F533">
      <w:r>
        <w:rPr>
          <w:rFonts w:ascii="Times New Roman" w:hAnsi="Times New Roman"/>
          <w:b/>
          <w:i w:val="0"/>
          <w:sz w:val="24"/>
        </w:rPr>
        <w:t>Figure 8.2.</w:t>
      </w:r>
      <w:r>
        <w:rPr>
          <w:rFonts w:ascii="Times New Roman" w:hAnsi="Times New Roman"/>
          <w:b w:val="0"/>
          <w:i w:val="0"/>
          <w:sz w:val="24"/>
        </w:rPr>
        <w:t xml:space="preserve"> Schematic of a physiologically-based pharmacokinetic (PBPK) model for iMNP biodistribution. Organ compartments (lungs, liver, spleen, kidneys, gut, brain, placenta) are connected by arterial and venous blood flows. Key model parameters include: size-dependent barrier-crossing rate constants, reticuloendothelial system (RES) saturable uptake kinetics, and tissue-specific partition/sequestration coefficients. Clearance pathways (fecal, biliary, renal, mucociliary) are indicated.</w:t>
      </w:r>
    </w:p>
    <w:p w14:paraId="2B798107">
      <w:r>
        <w:rPr>
          <w:rFonts w:ascii="Times New Roman" w:hAnsi="Times New Roman"/>
          <w:b/>
          <w:i w:val="0"/>
          <w:sz w:val="24"/>
        </w:rPr>
        <w:t>Figure 8.3.</w:t>
      </w:r>
      <w:r>
        <w:rPr>
          <w:rFonts w:ascii="Times New Roman" w:hAnsi="Times New Roman"/>
          <w:b w:val="0"/>
          <w:i w:val="0"/>
          <w:sz w:val="24"/>
        </w:rPr>
        <w:t xml:space="preserve"> Forest plot of random-effects meta-analysis showing detection prevalence of iMNPs across human tissues. Individual study estimates are displayed with 95% confidence intervals (blue squares; square size proportional to study weight). Tissue-specific subgroup pooled estimates are shown as red diamonds. The overall pooled prevalence was 68.5% (95% CI: 56.3–78.6%), with an I² of 77%. [Adapted from systematic review meta-analysis, see Section 8.9.]</w:t>
      </w:r>
    </w:p>
    <w:p w14:paraId="45131225">
      <w:r>
        <w:rPr>
          <w:rFonts w:ascii="Times New Roman" w:hAnsi="Times New Roman"/>
          <w:b/>
          <w:i w:val="0"/>
          <w:sz w:val="24"/>
        </w:rPr>
        <w:t>Figure 8.4.</w:t>
      </w:r>
      <w:r>
        <w:rPr>
          <w:rFonts w:ascii="Times New Roman" w:hAnsi="Times New Roman"/>
          <w:b w:val="0"/>
          <w:i w:val="0"/>
          <w:sz w:val="24"/>
        </w:rPr>
        <w:t xml:space="preserve"> Funnel plot for assessment of publication bias in the meta-analysis. Individual studies are plotted as logit-transformed prevalence (x-axis) versus standard error (y-axis, inverted). The dashed vertical line represents the pooled estimate. Pseudo 95% confidence limits are shown as dashed lines. Egger's regression test indicated no significant asymmetry (intercept = 1.72, p = 0.909). [Adapted from systematic review meta-analysis, see Section 8.9.]</w:t>
      </w:r>
    </w:p>
    <w:p w14:paraId="7504406C">
      <w:r>
        <w:rPr>
          <w:rFonts w:ascii="Times New Roman" w:hAnsi="Times New Roman"/>
          <w:b/>
          <w:i w:val="0"/>
          <w:sz w:val="24"/>
        </w:rPr>
        <w:t>Figure 8.5.</w:t>
      </w:r>
      <w:r>
        <w:rPr>
          <w:rFonts w:ascii="Times New Roman" w:hAnsi="Times New Roman"/>
          <w:b w:val="0"/>
          <w:i w:val="0"/>
          <w:sz w:val="24"/>
        </w:rPr>
        <w:t xml:space="preserve"> Anatomical diagram showing iMNP detection prevalence across human tissues based on meta-analysis results. Detection prevalence is indicated for each tissue type: blood/serum (90.0%), placenta (90.0%), stool/gut (85.3%), cerumen/ear (83.3%), lung (66.1%), semen/testis (55.2%), and breast milk (39.0%). Exposure routes (oral ingestion, inhalation, dermal contact) and systemic distribution pathways are illustrated. Overall pooled prevalence across all tissues: 68.5% (95% CI: 56.3–78.6%, N = 474).</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91A0B1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360" w:lineRule="auto"/>
    </w:pPr>
    <w:rPr>
      <w:rFonts w:ascii="Times New Roman" w:hAnsi="Times New Roman" w:eastAsiaTheme="minorEastAsia"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39</Pages>
  <Words>400</Words>
  <Characters>2668</Characters>
  <Lines>0</Lines>
  <Paragraphs>0</Paragraphs>
  <TotalTime>8</TotalTime>
  <ScaleCrop>false</ScaleCrop>
  <LinksUpToDate>false</LinksUpToDate>
  <CharactersWithSpaces>3047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动感光波咻咻咻</cp:lastModifiedBy>
  <dcterms:modified xsi:type="dcterms:W3CDTF">2026-03-31T05:51:25Z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eyJoZGlkIjoiYjU3NzgzNGQzM2M1NjJhYTk5MDYwZjFiYjNjYWQwNTMiLCJ1c2VySWQiOiI2ODIxNjk0MzkifQ==</vt:lpwstr>
  </property>
  <property fmtid="{D5CDD505-2E9C-101B-9397-08002B2CF9AE}" pid="3" name="KSOProductBuildVer">
    <vt:lpwstr>2052-12.1.0.25225</vt:lpwstr>
  </property>
  <property fmtid="{D5CDD505-2E9C-101B-9397-08002B2CF9AE}" pid="4" name="ICV">
    <vt:lpwstr>A2BCCA4A6C06428392C37E0F7B6A8DDD_12</vt:lpwstr>
  </property>
</Properties>
</file>