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楷体" w:cs="Times New Roman"/>
          <w:b/>
          <w:color w:val="000000"/>
          <w:sz w:val="42"/>
        </w:rPr>
        <w:t>个人 LoRA 与参考记忆的 PPG 血压估计</w:t>
      </w:r>
    </w:p>
    <w:p>
      <w:r>
        <w:rPr>
          <w:rFonts w:ascii="Times New Roman" w:hAnsi="Times New Roman" w:eastAsia="楷体" w:cs="Times New Roman"/>
          <w:b w:val="0"/>
          <w:color w:val="000000"/>
          <w:sz w:val="24"/>
        </w:rPr>
        <w:t>研究说明与阶段结果　2026 年 9 月 9 日</w:t>
      </w:r>
    </w:p>
    <w:p>
      <w:pPr>
        <w:pStyle w:val="Heading1"/>
      </w:pPr>
      <w:r>
        <w:rPr>
          <w:rFonts w:ascii="Times New Roman" w:hAnsi="Times New Roman" w:eastAsia="楷体" w:cs="Times New Roman"/>
          <w:b/>
          <w:color w:val="000000"/>
          <w:sz w:val="32"/>
        </w:rPr>
        <w:t>一 目前得到的结论</w:t>
      </w:r>
    </w:p>
    <w:p>
      <w:r>
        <w:rPr>
          <w:rFonts w:ascii="Times New Roman" w:hAnsi="Times New Roman" w:eastAsia="楷体" w:cs="Times New Roman"/>
          <w:b w:val="0"/>
          <w:color w:val="000000"/>
          <w:sz w:val="24"/>
        </w:rPr>
        <w:t>我们的目标是让公共 PPG 模型通过用户自己的带血压标签记录建立个人档案，随后利用个人参数与参考记忆估计血压。当前候选方法为“个人 LoRA + 参考记忆”。本文说明已运行的实现与结果，并将手表采集和长期更新明确列为后续计划。</w:t>
      </w:r>
    </w:p>
    <w:p>
      <w:r>
        <w:rPr>
          <w:rFonts w:ascii="Times New Roman" w:hAnsi="Times New Roman" w:eastAsia="楷体" w:cs="Times New Roman"/>
          <w:b w:val="0"/>
          <w:color w:val="000000"/>
          <w:sz w:val="24"/>
        </w:rPr>
        <w:t>最新实验把 30 人的全部记录从公共模型拟合队列中移除。公共模型重新训练后，使用每名新用户自己的 360 个有标签窗口建立档案，再预测该人的 40 个不同窗口。单 LoRA 的 SBP/DBP MAE 为 4.0749/2.2775 mmHg；加入记忆后为 3.1515/1.7466 mmHg。结果支持“训练完成后为新用户独立建档”，但不代表只需少量袖带测量，也不证明跨日长期稳定性。</w:t>
      </w:r>
    </w:p>
    <w:p>
      <w:pPr>
        <w:pStyle w:val="Heading1"/>
      </w:pPr>
      <w:r>
        <w:rPr>
          <w:rFonts w:ascii="Times New Roman" w:hAnsi="Times New Roman" w:eastAsia="楷体" w:cs="Times New Roman"/>
          <w:b/>
          <w:color w:val="000000"/>
          <w:sz w:val="32"/>
        </w:rPr>
        <w:t>二 LoRA 基础模型与主干网络</w:t>
      </w:r>
    </w:p>
    <w:p>
      <w:r>
        <w:rPr>
          <w:rFonts w:ascii="Times New Roman" w:hAnsi="Times New Roman" w:eastAsia="楷体" w:cs="Times New Roman"/>
          <w:b w:val="0"/>
          <w:color w:val="000000"/>
          <w:sz w:val="24"/>
        </w:rPr>
        <w:t>LoRA 是已有的低秩适配思想，不是我们首次提出的算法。[1] 已有论文将低秩适配用于 PPG 血压个性化估计。[2] 本项目不是该论文的原样复现：当前主干为一维多尺度 ResNet，而该论文摘要描述的是 Transformer 框架。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4565"/>
        <w:gridCol w:w="3960"/>
      </w:tblGrid>
      <w:tr>
        <w:trPr>
          <w:cantSplit/>
          <w:tblHeader/>
        </w:trPr>
        <w:tc>
          <w:tcPr>
            <w:tcW w:type="dxa" w:w="1555"/>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部分</w:t>
            </w:r>
          </w:p>
        </w:tc>
        <w:tc>
          <w:tcPr>
            <w:tcW w:type="dxa" w:w="4565"/>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当前实际实现</w:t>
            </w:r>
          </w:p>
        </w:tc>
        <w:tc>
          <w:tcPr>
            <w:tcW w:type="dxa" w:w="3960"/>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作用</w:t>
            </w:r>
          </w:p>
        </w:tc>
      </w:tr>
      <w:tr>
        <w:trPr>
          <w:cantSplit/>
        </w:trPr>
        <w:tc>
          <w:tcPr>
            <w:tcW w:type="dxa" w:w="1555"/>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输入与预处理</w:t>
            </w:r>
          </w:p>
        </w:tc>
        <w:tc>
          <w:tcPr>
            <w:tcW w:type="dxa" w:w="4565"/>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单通道 PPG，125 Hz，每窗 10 秒，共 1,250 点</w:t>
            </w:r>
          </w:p>
        </w:tc>
        <w:tc>
          <w:tcPr>
            <w:tcW w:type="dxa" w:w="3960"/>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当前读取 PulseDB 的 PPG_F，再做逐窗均值与标准差归一化</w:t>
            </w:r>
          </w:p>
        </w:tc>
      </w:tr>
      <w:tr>
        <w:trPr>
          <w:cantSplit/>
        </w:trPr>
        <w:tc>
          <w:tcPr>
            <w:tcW w:type="dxa" w:w="1555"/>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多尺度入口</w:t>
            </w:r>
          </w:p>
        </w:tc>
        <w:tc>
          <w:tcPr>
            <w:tcW w:type="dxa" w:w="4565"/>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卷积核 3、7、15，各 16 通道，融合为 48 通道</w:t>
            </w:r>
          </w:p>
        </w:tc>
        <w:tc>
          <w:tcPr>
            <w:tcW w:type="dxa" w:w="3960"/>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提取不同时间尺度的局部波形</w:t>
            </w:r>
          </w:p>
        </w:tc>
      </w:tr>
      <w:tr>
        <w:trPr>
          <w:cantSplit/>
        </w:trPr>
        <w:tc>
          <w:tcPr>
            <w:tcW w:type="dxa" w:w="1555"/>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残差主干</w:t>
            </w:r>
          </w:p>
        </w:tc>
        <w:tc>
          <w:tcPr>
            <w:tcW w:type="dxa" w:w="4565"/>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四个残差块，输出通道依次 64、96、128、192</w:t>
            </w:r>
          </w:p>
        </w:tc>
        <w:tc>
          <w:tcPr>
            <w:tcW w:type="dxa" w:w="3960"/>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学习波形形态；不是 Transformer</w:t>
            </w:r>
          </w:p>
        </w:tc>
      </w:tr>
      <w:tr>
        <w:trPr>
          <w:cantSplit/>
        </w:trPr>
        <w:tc>
          <w:tcPr>
            <w:tcW w:type="dxa" w:w="1555"/>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特征与回归头</w:t>
            </w:r>
          </w:p>
        </w:tc>
        <w:tc>
          <w:tcPr>
            <w:tcW w:type="dxa" w:w="4565"/>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全局平均池化，192→256；回归头 256→128→2</w:t>
            </w:r>
          </w:p>
        </w:tc>
        <w:tc>
          <w:tcPr>
            <w:tcW w:type="dxa" w:w="3960"/>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形成 256 维 PPG 特征并输出 SBP、DBP 的相对修正</w:t>
            </w:r>
          </w:p>
        </w:tc>
      </w:tr>
      <w:tr>
        <w:trPr>
          <w:cantSplit/>
        </w:trPr>
        <w:tc>
          <w:tcPr>
            <w:tcW w:type="dxa" w:w="1555"/>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个人适配器</w:t>
            </w:r>
          </w:p>
        </w:tc>
        <w:tc>
          <w:tcPr>
            <w:tcW w:type="dxa" w:w="4565"/>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每人一对低秩矩阵，秩为 4，共 2,048 个参数</w:t>
            </w:r>
          </w:p>
        </w:tc>
        <w:tc>
          <w:tcPr>
            <w:tcW w:type="dxa" w:w="3960"/>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在 256 维特征上作个人化修正</w:t>
            </w:r>
          </w:p>
        </w:tc>
      </w:tr>
      <w:tr>
        <w:trPr>
          <w:cantSplit/>
        </w:trPr>
        <w:tc>
          <w:tcPr>
            <w:tcW w:type="dxa" w:w="1555"/>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个人血压基准</w:t>
            </w:r>
          </w:p>
        </w:tc>
        <w:tc>
          <w:tcPr>
            <w:tcW w:type="dxa" w:w="4565"/>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该人合法注册记录中的 SBP、DBP 均值</w:t>
            </w:r>
          </w:p>
        </w:tc>
        <w:tc>
          <w:tcPr>
            <w:tcW w:type="dxa" w:w="3960"/>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作为输出基准，再叠加模型预测的变化量</w:t>
            </w:r>
          </w:p>
        </w:tc>
      </w:tr>
    </w:tbl>
    <w:p>
      <w:pPr>
        <w:spacing w:after="20" w:line="20" w:lineRule="exact"/>
      </w:pPr>
      <w:r>
        <w:rPr>
          <w:rFonts w:ascii="Times New Roman" w:hAnsi="Times New Roman" w:eastAsia="楷体" w:cs="Times New Roman"/>
          <w:b w:val="0"/>
          <w:color w:val="000000"/>
          <w:sz w:val="24"/>
        </w:rPr>
      </w:r>
    </w:p>
    <w:p>
      <w:r>
        <w:rPr>
          <w:rFonts w:ascii="Times New Roman" w:hAnsi="Times New Roman" w:eastAsia="楷体" w:cs="Times New Roman"/>
          <w:b w:val="0"/>
          <w:color w:val="000000"/>
          <w:sz w:val="24"/>
        </w:rPr>
        <w:t>当前网络不输入 ECG、ABP 波形、年龄或性别。ABP 仅用于构造公开数据中的参考 BP 标签；PPG_F 是滤波后的 PPG，不应写成直接使用未处理的手表原始信号。</w:t>
      </w:r>
    </w:p>
    <w:p>
      <w:pPr>
        <w:sectPr>
          <w:footerReference w:type="default" r:id="rId9"/>
          <w:pgSz w:w="12240" w:h="15840"/>
          <w:pgMar w:top="864" w:right="1080" w:bottom="864" w:left="1080" w:header="317" w:footer="317" w:gutter="0"/>
          <w:cols w:space="720"/>
          <w:docGrid w:linePitch="360"/>
        </w:sectPr>
      </w:pPr>
    </w:p>
    <w:p>
      <w:pPr>
        <w:pStyle w:val="Heading1"/>
      </w:pPr>
      <w:r>
        <w:rPr>
          <w:rFonts w:ascii="Times New Roman" w:hAnsi="Times New Roman" w:eastAsia="楷体" w:cs="Times New Roman"/>
          <w:b/>
          <w:color w:val="000000"/>
          <w:sz w:val="32"/>
        </w:rPr>
        <w:t>三 个人参数与参考记忆分别做什么</w:t>
      </w:r>
    </w:p>
    <w:p>
      <w:pPr>
        <w:pStyle w:val="Heading2"/>
      </w:pPr>
      <w:r>
        <w:rPr>
          <w:rFonts w:ascii="Times New Roman" w:hAnsi="Times New Roman" w:eastAsia="楷体" w:cs="Times New Roman"/>
          <w:b/>
          <w:color w:val="000000"/>
          <w:sz w:val="26"/>
        </w:rPr>
        <w:t>个人 LoRA</w:t>
      </w:r>
    </w:p>
    <w:p>
      <w:r>
        <w:rPr>
          <w:rFonts w:ascii="Times New Roman" w:hAnsi="Times New Roman" w:eastAsia="楷体" w:cs="Times New Roman"/>
          <w:b w:val="0"/>
          <w:color w:val="000000"/>
          <w:sz w:val="24"/>
        </w:rPr>
        <w:t>公共主干把当前 PPG 变成 256 维特征。个人矩阵 A 将其映射到 4 维，矩阵 B 再映回 256 维，结果除以 4 后加回原特征。随后，共享回归头预测相对于个人血压基准的修正量，并按公共训练标签的尺度换算回 mmHg。</w:t>
      </w:r>
    </w:p>
    <w:p>
      <w:r>
        <w:rPr>
          <w:rFonts w:ascii="Times New Roman" w:hAnsi="Times New Roman" w:eastAsia="楷体" w:cs="Times New Roman"/>
          <w:b w:val="0"/>
          <w:color w:val="000000"/>
          <w:sz w:val="24"/>
        </w:rPr>
        <w:t>这里实现的是特征层的 LoRA 风格低秩残差适配，并非在全部卷积层或注意力层中插入 LoRA。每位注册用户独立保存 A、B 与血压基准；身份只用于取回本人的档案，不是从其他人的适配器中挑一个。</w:t>
      </w:r>
    </w:p>
    <w:p>
      <w:pPr>
        <w:pStyle w:val="Heading2"/>
      </w:pPr>
      <w:r>
        <w:rPr>
          <w:rFonts w:ascii="Times New Roman" w:hAnsi="Times New Roman" w:eastAsia="楷体" w:cs="Times New Roman"/>
          <w:b/>
          <w:color w:val="000000"/>
          <w:sz w:val="26"/>
        </w:rPr>
        <w:t>个人参考记忆</w:t>
      </w:r>
    </w:p>
    <w:p>
      <w:r>
        <w:rPr>
          <w:rFonts w:ascii="Times New Roman" w:hAnsi="Times New Roman" w:eastAsia="楷体" w:cs="Times New Roman"/>
          <w:b w:val="0"/>
          <w:color w:val="000000"/>
          <w:sz w:val="24"/>
        </w:rPr>
        <w:t>LoRA 把个人规律压缩到参数中；参考记忆则保留“这位用户曾出现过什么 PPG 特征，当时对应什么参考血压”。每条记忆包含个人适配后的特征、配对 SBP/DBP 和用于溯源与排除重叠的窗口信息，不包含测试标签。</w:t>
      </w:r>
    </w:p>
    <w:p>
      <w:r>
        <w:rPr>
          <w:rFonts w:ascii="Times New Roman" w:hAnsi="Times New Roman" w:eastAsia="楷体" w:cs="Times New Roman"/>
          <w:b w:val="0"/>
          <w:color w:val="000000"/>
          <w:sz w:val="24"/>
        </w:rPr>
        <w:t>预测时，先在本人的合法参考库中寻找余弦相似度最高的 5 条记录，排除相同窗口和生理时间重叠。再用相似度 softmax 加权，温度为 0.1，得到参考血压估计。“取 5 条邻居”不是“只使用 5 次校准”，当前参考库仍由 360 个有标签窗口构建。</w:t>
      </w:r>
    </w:p>
    <w:p>
      <w:pPr>
        <w:pStyle w:val="Heading2"/>
      </w:pPr>
      <w:r>
        <w:rPr>
          <w:rFonts w:ascii="Times New Roman" w:hAnsi="Times New Roman" w:eastAsia="楷体" w:cs="Times New Roman"/>
          <w:b/>
          <w:color w:val="000000"/>
          <w:sz w:val="26"/>
        </w:rPr>
        <w:t>距离控制的融合</w:t>
      </w:r>
    </w:p>
    <w:p>
      <w:r>
        <w:rPr>
          <w:rFonts w:ascii="Times New Roman" w:hAnsi="Times New Roman" w:eastAsia="楷体" w:cs="Times New Roman"/>
          <w:b w:val="0"/>
          <w:color w:val="000000"/>
          <w:sz w:val="24"/>
        </w:rPr>
        <w:t>融合系数由当前特征到最近参考的余弦距离决定。距离越小，记忆的权重越大；距离太远时退回 LoRA。当前系数为 1 减去“距离与注册距离尺度的比值”，并截断在 0 到 1 之间。最终预测是 LoRA 与记忆血压的加权平均。</w:t>
      </w:r>
    </w:p>
    <w:p>
      <w:r>
        <w:rPr>
          <w:rFonts w:ascii="Times New Roman" w:hAnsi="Times New Roman" w:eastAsia="楷体" w:cs="Times New Roman"/>
          <w:b w:val="0"/>
          <w:color w:val="000000"/>
          <w:sz w:val="24"/>
        </w:rPr>
        <w:t>距离尺度取注册数据内部、排除同一时间排序块邻居后的距离第 95 百分位。30 人实验为每人单独估计；此前官方批次使用合并尺度，二者不是完全相同的设置。该门控是固定规则，不是本次额外训练的 attention 或可信度神经网络。</w:t>
      </w:r>
    </w:p>
    <w:p>
      <w:pPr>
        <w:pStyle w:val="Heading2"/>
      </w:pPr>
      <w:r>
        <w:rPr>
          <w:rFonts w:ascii="Times New Roman" w:hAnsi="Times New Roman" w:eastAsia="楷体" w:cs="Times New Roman"/>
          <w:b/>
          <w:color w:val="000000"/>
          <w:sz w:val="26"/>
        </w:rPr>
        <w:t>与已有模块的关系</w:t>
      </w:r>
    </w:p>
    <w:p>
      <w:r>
        <w:rPr>
          <w:rFonts w:ascii="Times New Roman" w:hAnsi="Times New Roman" w:eastAsia="楷体" w:cs="Times New Roman"/>
          <w:b w:val="0"/>
          <w:color w:val="000000"/>
          <w:sz w:val="24"/>
        </w:rPr>
        <w:t>当前候选保留公共 ResNet、个人低秩适配、个人血压基准，增加同人参考库、相似度检索、距离融合与新用户建档流程。它没有再叠加 FiLM、PRS、Quality Gate、MoE 或人口统计分支。此前试过的复杂模块不能自动写成本次最终模型的组成部分。</w:t>
      </w:r>
    </w:p>
    <w:p>
      <w:pPr>
        <w:sectPr>
          <w:pgSz w:w="12240" w:h="15840"/>
          <w:pgMar w:top="864" w:right="1080" w:bottom="864" w:left="1080" w:header="317" w:footer="317" w:gutter="0"/>
          <w:cols w:space="720"/>
          <w:docGrid w:linePitch="360"/>
        </w:sectPr>
      </w:pPr>
    </w:p>
    <w:p>
      <w:pPr>
        <w:pStyle w:val="Heading1"/>
      </w:pPr>
      <w:r>
        <w:rPr>
          <w:rFonts w:ascii="Times New Roman" w:hAnsi="Times New Roman" w:eastAsia="楷体" w:cs="Times New Roman"/>
          <w:b/>
          <w:color w:val="000000"/>
          <w:sz w:val="32"/>
        </w:rPr>
        <w:t>四 新用户怎样建立自己的档案</w:t>
      </w:r>
    </w:p>
    <w:p>
      <w:r>
        <w:rPr>
          <w:rFonts w:ascii="Times New Roman" w:hAnsi="Times New Roman" w:eastAsia="楷体" w:cs="Times New Roman"/>
          <w:b w:val="0"/>
          <w:color w:val="000000"/>
          <w:sz w:val="24"/>
        </w:rPr>
        <w:t>第一步，使用其余 2,476 人从头训练公共主干、回归头和公共标签尺度。30 人的任何记录都不进入这一过程，也不复用过去见过这些人的旧 checkpoint。公共队列内部先选择训练轮数，随后从头拟合完整合法训练集。</w:t>
      </w:r>
    </w:p>
    <w:p>
      <w:r>
        <w:rPr>
          <w:rFonts w:ascii="Times New Roman" w:hAnsi="Times New Roman" w:eastAsia="楷体" w:cs="Times New Roman"/>
          <w:b w:val="0"/>
          <w:color w:val="000000"/>
          <w:sz w:val="24"/>
        </w:rPr>
        <w:t>第二步，冻结公共参数、BatchNorm 缓冲区和标签尺度，为新用户创建全新的 A、B。只用本人的注册 PPG 与参考 BP 优化这 2,048 个参数。不是沿用别人的个人参数，也不是在加入新用户时重新训练整个公共网络。</w:t>
      </w:r>
    </w:p>
    <w:p>
      <w:r>
        <w:rPr>
          <w:rFonts w:ascii="Times New Roman" w:hAnsi="Times New Roman" w:eastAsia="楷体" w:cs="Times New Roman"/>
          <w:b w:val="0"/>
          <w:color w:val="000000"/>
          <w:sz w:val="24"/>
        </w:rPr>
        <w:t>第三步，注册集合内部以 320/40 窗口选择个人训练轮数；随后重新初始化个人适配器，按选定轮数使用全部 360 窗口拟合。再由这些合法记录构建参考库和距离尺度。最终 40 个测试窗口不参与轮数、门控或基准值的选择。</w:t>
      </w:r>
    </w:p>
    <w:p>
      <w:r>
        <w:rPr>
          <w:rFonts w:ascii="Times New Roman" w:hAnsi="Times New Roman" w:eastAsia="楷体" w:cs="Times New Roman"/>
          <w:b w:val="0"/>
          <w:color w:val="000000"/>
          <w:sz w:val="24"/>
        </w:rPr>
        <w:t>第四步，保存个人参数、血压基准、参考特征与标签、公共模型版本和注册记录标识。下一次输入 PPG 时按用户身份加载档案；更换公共模型版本时，应重新编码参考库并核对兼容性，而不能混用不同版本的特征。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2880"/>
        <w:gridCol w:w="3211"/>
        <w:gridCol w:w="2434"/>
      </w:tblGrid>
      <w:tr>
        <w:trPr>
          <w:cantSplit/>
          <w:tblHeader/>
        </w:trPr>
        <w:tc>
          <w:tcPr>
            <w:tcW w:type="dxa" w:w="1555"/>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队列</w:t>
            </w:r>
          </w:p>
        </w:tc>
        <w:tc>
          <w:tcPr>
            <w:tcW w:type="dxa" w:w="2880"/>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人数与来源</w:t>
            </w:r>
          </w:p>
        </w:tc>
        <w:tc>
          <w:tcPr>
            <w:tcW w:type="dxa" w:w="3211"/>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有标签拟合或注册窗口</w:t>
            </w:r>
          </w:p>
        </w:tc>
        <w:tc>
          <w:tcPr>
            <w:tcW w:type="dxa" w:w="2434"/>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最终查询窗口</w:t>
            </w:r>
          </w:p>
        </w:tc>
      </w:tr>
      <w:tr>
        <w:trPr>
          <w:cantSplit/>
        </w:trPr>
        <w:tc>
          <w:tcPr>
            <w:tcW w:type="dxa" w:w="1555"/>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公共模型队列</w:t>
            </w:r>
          </w:p>
        </w:tc>
        <w:tc>
          <w:tcPr>
            <w:tcW w:type="dxa" w:w="2880"/>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2,476 人；MIMIC 1,198，VitalDB 1,278</w:t>
            </w:r>
          </w:p>
        </w:tc>
        <w:tc>
          <w:tcPr>
            <w:tcW w:type="dxa" w:w="3211"/>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每人 360；合计 891,360</w:t>
            </w:r>
          </w:p>
        </w:tc>
        <w:tc>
          <w:tcPr>
            <w:tcW w:type="dxa" w:w="2434"/>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每人 40；合计 99,040</w:t>
            </w:r>
          </w:p>
        </w:tc>
      </w:tr>
      <w:tr>
        <w:trPr>
          <w:cantSplit/>
        </w:trPr>
        <w:tc>
          <w:tcPr>
            <w:tcW w:type="dxa" w:w="1555"/>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后加入的新用户</w:t>
            </w:r>
          </w:p>
        </w:tc>
        <w:tc>
          <w:tcPr>
            <w:tcW w:type="dxa" w:w="2880"/>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30 人；MIMIC、VitalDB 各 15</w:t>
            </w:r>
          </w:p>
        </w:tc>
        <w:tc>
          <w:tcPr>
            <w:tcW w:type="dxa" w:w="3211"/>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每人 360；合计 10,800</w:t>
            </w:r>
          </w:p>
        </w:tc>
        <w:tc>
          <w:tcPr>
            <w:tcW w:type="dxa" w:w="2434"/>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每人 40；合计 1,200</w:t>
            </w:r>
          </w:p>
        </w:tc>
      </w:tr>
    </w:tbl>
    <w:p>
      <w:pPr>
        <w:spacing w:after="20" w:line="20" w:lineRule="exact"/>
      </w:pPr>
      <w:r>
        <w:rPr>
          <w:rFonts w:ascii="Times New Roman" w:hAnsi="Times New Roman" w:eastAsia="楷体" w:cs="Times New Roman"/>
          <w:b w:val="0"/>
          <w:color w:val="000000"/>
          <w:sz w:val="24"/>
        </w:rPr>
      </w:r>
    </w:p>
    <w:p>
      <w:r>
        <w:rPr>
          <w:rFonts w:ascii="Times New Roman" w:hAnsi="Times New Roman" w:eastAsia="楷体" w:cs="Times New Roman"/>
          <w:b w:val="0"/>
          <w:color w:val="000000"/>
          <w:sz w:val="24"/>
        </w:rPr>
        <w:t>抽取采用预先固定的随机种子 20260909，按来源分层随机抽取整个人，没有按预测误差挑人。两队列的受试者与内容交叉重复均为零；30 人注册与测试之间的内容重复也为零。</w:t>
      </w:r>
    </w:p>
    <w:p>
      <w:r>
        <w:rPr>
          <w:rFonts w:ascii="Times New Roman" w:hAnsi="Times New Roman" w:eastAsia="楷体" w:cs="Times New Roman"/>
          <w:b w:val="0"/>
          <w:color w:val="000000"/>
          <w:sz w:val="24"/>
        </w:rPr>
        <w:t>所有 30 份个人适配器均进行了实际优化。公共权重与缓冲区保持不变，保存后重载的预测一致性均为 30/30 通过。这里证明的是本次公共模型未见用户的后注册能力；项目早期已探索过整个数据集，因此仍属于探索性证据，不是从未接触过的独立确认队列。</w:t>
      </w:r>
    </w:p>
    <w:p>
      <w:r>
        <w:rPr>
          <w:rFonts w:ascii="Times New Roman" w:hAnsi="Times New Roman" w:eastAsia="楷体" w:cs="Times New Roman"/>
          <w:b w:val="0"/>
          <w:color w:val="000000"/>
          <w:sz w:val="24"/>
        </w:rPr>
        <w:t>该实验沿用来源文件的窗口成员关系，再整个人留出 30 人，属于官方数据上的派生实验，不是原封不动的官方 CalBased 基准。注册/测试窗口也不是严格“早期记录/未来记录”的顺序划分。</w:t>
      </w:r>
    </w:p>
    <w:p>
      <w:pPr>
        <w:sectPr>
          <w:pgSz w:w="12240" w:h="15840"/>
          <w:pgMar w:top="864" w:right="1080" w:bottom="864" w:left="1080" w:header="317" w:footer="317" w:gutter="0"/>
          <w:cols w:space="720"/>
          <w:docGrid w:linePitch="360"/>
        </w:sectPr>
      </w:pPr>
    </w:p>
    <w:p>
      <w:pPr>
        <w:pStyle w:val="Heading1"/>
      </w:pPr>
      <w:r>
        <w:rPr>
          <w:rFonts w:ascii="Times New Roman" w:hAnsi="Times New Roman" w:eastAsia="楷体" w:cs="Times New Roman"/>
          <w:b/>
          <w:color w:val="000000"/>
          <w:sz w:val="32"/>
        </w:rPr>
        <w:t>五 两项实验的主要结果</w:t>
      </w:r>
    </w:p>
    <w:p>
      <w:r>
        <w:rPr>
          <w:rFonts w:ascii="Times New Roman" w:hAnsi="Times New Roman" w:eastAsia="楷体" w:cs="Times New Roman"/>
          <w:b w:val="0"/>
          <w:color w:val="000000"/>
          <w:sz w:val="24"/>
        </w:rPr>
        <w:t>主指标为先计算每位受试者的 MAE，再对人取平均。下表单位均为 mmHg，数值顺序为 SBP / DBP；Overall 从同一份完整预测重新计算，MIMIC 与 VitalDB 是 PulseDB 内部来源分层，并非外部设备验证。</w:t>
      </w:r>
    </w:p>
    <w:p>
      <w:pPr>
        <w:pStyle w:val="Heading2"/>
      </w:pPr>
      <w:r>
        <w:rPr>
          <w:rFonts w:ascii="Times New Roman" w:hAnsi="Times New Roman" w:eastAsia="楷体" w:cs="Times New Roman"/>
          <w:b/>
          <w:color w:val="000000"/>
          <w:sz w:val="26"/>
        </w:rPr>
        <w:t>官方 CalBased 基准</w:t>
      </w:r>
    </w:p>
    <w:p>
      <w:r>
        <w:rPr>
          <w:rFonts w:ascii="Times New Roman" w:hAnsi="Times New Roman" w:eastAsia="楷体" w:cs="Times New Roman"/>
          <w:b w:val="0"/>
          <w:color w:val="000000"/>
          <w:sz w:val="24"/>
        </w:rPr>
        <w:t>完整保留本次使用的官方成员与角色，共 2,506 人，每人 360 个训练窗口、40 个测试窗口。训练与测试受试者有意重合，用来评估已有档案的注册用户，而不是陌生用户免校准泛化。[3]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2232"/>
        <w:gridCol w:w="2232"/>
        <w:gridCol w:w="2232"/>
      </w:tblGrid>
      <w:tr>
        <w:trPr>
          <w:cantSplit/>
          <w:tblHeader/>
        </w:trPr>
        <w:tc>
          <w:tcPr>
            <w:tcW w:type="dxa" w:w="3384"/>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方法</w:t>
            </w:r>
          </w:p>
        </w:tc>
        <w:tc>
          <w:tcPr>
            <w:tcW w:type="dxa" w:w="2232"/>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Overall</w:t>
            </w:r>
          </w:p>
        </w:tc>
        <w:tc>
          <w:tcPr>
            <w:tcW w:type="dxa" w:w="2232"/>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MIMIC</w:t>
            </w:r>
          </w:p>
        </w:tc>
        <w:tc>
          <w:tcPr>
            <w:tcW w:type="dxa" w:w="2232"/>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VitalDB</w:t>
            </w:r>
          </w:p>
        </w:tc>
      </w:tr>
      <w:tr>
        <w:trPr>
          <w:cantSplit/>
        </w:trPr>
        <w:tc>
          <w:tcPr>
            <w:tcW w:type="dxa" w:w="3384"/>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个人 LoRA</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3.8207 / 2.0994</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4.1920 / 2.2802</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3.4724 / 1.9298</w:t>
            </w:r>
          </w:p>
        </w:tc>
      </w:tr>
      <w:tr>
        <w:trPr>
          <w:cantSplit/>
        </w:trPr>
        <w:tc>
          <w:tcPr>
            <w:tcW w:type="dxa" w:w="3384"/>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LoRA + 固定参考记忆</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3.4210 / 1.8858</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3.8073 / 2.0699</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3.0587 / 1.7132</w:t>
            </w:r>
          </w:p>
        </w:tc>
      </w:tr>
    </w:tbl>
    <w:p>
      <w:pPr>
        <w:spacing w:after="20" w:line="20" w:lineRule="exact"/>
      </w:pPr>
      <w:r>
        <w:rPr>
          <w:rFonts w:ascii="Times New Roman" w:hAnsi="Times New Roman" w:eastAsia="楷体" w:cs="Times New Roman"/>
          <w:b w:val="0"/>
          <w:color w:val="000000"/>
          <w:sz w:val="24"/>
        </w:rPr>
      </w:r>
    </w:p>
    <w:p>
      <w:r>
        <w:rPr>
          <w:rFonts w:ascii="Times New Roman" w:hAnsi="Times New Roman" w:eastAsia="楷体" w:cs="Times New Roman"/>
          <w:b w:val="0"/>
          <w:color w:val="000000"/>
          <w:sz w:val="24"/>
        </w:rPr>
        <w:t>SBP、DBP 等权的综合 MAE 从 2.9601 降至 2.6534。另四个学习型候选确实训练过，但内部选择均停留在第 0 轮的固定记忆初始化；不能把相同结果解释为四项新增学习机制分别有效。</w:t>
      </w:r>
    </w:p>
    <w:p>
      <w:r>
        <w:rPr>
          <w:rFonts w:ascii="Times New Roman" w:hAnsi="Times New Roman" w:eastAsia="楷体" w:cs="Times New Roman"/>
          <w:b w:val="0"/>
          <w:color w:val="000000"/>
          <w:sz w:val="24"/>
        </w:rPr>
        <w:t>官方来源中审计到的 35 个跨训练/测试重复内容行按授权保留，没有自行删改成员。因而可报告忠实保留来源角色，但不能称该基准绝无内容重复。</w:t>
      </w:r>
    </w:p>
    <w:p>
      <w:pPr>
        <w:pStyle w:val="Heading2"/>
      </w:pPr>
      <w:r>
        <w:rPr>
          <w:rFonts w:ascii="Times New Roman" w:hAnsi="Times New Roman" w:eastAsia="楷体" w:cs="Times New Roman"/>
          <w:b/>
          <w:color w:val="000000"/>
          <w:sz w:val="26"/>
        </w:rPr>
        <w:t>30 人后注册实验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2232"/>
        <w:gridCol w:w="2232"/>
        <w:gridCol w:w="2232"/>
      </w:tblGrid>
      <w:tr>
        <w:trPr>
          <w:cantSplit/>
          <w:tblHeader/>
        </w:trPr>
        <w:tc>
          <w:tcPr>
            <w:tcW w:type="dxa" w:w="3384"/>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方法</w:t>
            </w:r>
          </w:p>
        </w:tc>
        <w:tc>
          <w:tcPr>
            <w:tcW w:type="dxa" w:w="2232"/>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Overall</w:t>
            </w:r>
          </w:p>
        </w:tc>
        <w:tc>
          <w:tcPr>
            <w:tcW w:type="dxa" w:w="2232"/>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MIMIC</w:t>
            </w:r>
          </w:p>
        </w:tc>
        <w:tc>
          <w:tcPr>
            <w:tcW w:type="dxa" w:w="2232"/>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VitalDB</w:t>
            </w:r>
          </w:p>
        </w:tc>
      </w:tr>
      <w:tr>
        <w:trPr>
          <w:cantSplit/>
        </w:trPr>
        <w:tc>
          <w:tcPr>
            <w:tcW w:type="dxa" w:w="3384"/>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仅个人注册 BP 均值</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11.5854 / 6.0402</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10.5278 / 5.2594</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12.6429 / 6.8209</w:t>
            </w:r>
          </w:p>
        </w:tc>
      </w:tr>
      <w:tr>
        <w:trPr>
          <w:cantSplit/>
        </w:trPr>
        <w:tc>
          <w:tcPr>
            <w:tcW w:type="dxa" w:w="3384"/>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公共网络 + 个人 BP 基准</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10.8464 / 5.7255</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10.7799 / 5.5361</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10.9128 / 5.9150</w:t>
            </w:r>
          </w:p>
        </w:tc>
      </w:tr>
      <w:tr>
        <w:trPr>
          <w:cantSplit/>
        </w:trPr>
        <w:tc>
          <w:tcPr>
            <w:tcW w:type="dxa" w:w="3384"/>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新建个人 LoRA</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4.0749 / 2.2775</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3.8486 / 2.2589</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4.3011 / 2.2961</w:t>
            </w:r>
          </w:p>
        </w:tc>
      </w:tr>
      <w:tr>
        <w:trPr>
          <w:cantSplit/>
        </w:trPr>
        <w:tc>
          <w:tcPr>
            <w:tcW w:type="dxa" w:w="3384"/>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新建个人 LoRA + 参考记忆</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3.1515 / 1.7466</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3.0666 / 1.7583</w:t>
            </w:r>
          </w:p>
        </w:tc>
        <w:tc>
          <w:tcPr>
            <w:tcW w:type="dxa" w:w="2232"/>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3.2364 / 1.7349</w:t>
            </w:r>
          </w:p>
        </w:tc>
      </w:tr>
    </w:tbl>
    <w:p>
      <w:pPr>
        <w:spacing w:after="20" w:line="20" w:lineRule="exact"/>
      </w:pPr>
      <w:r>
        <w:rPr>
          <w:rFonts w:ascii="Times New Roman" w:hAnsi="Times New Roman" w:eastAsia="楷体" w:cs="Times New Roman"/>
          <w:b w:val="0"/>
          <w:color w:val="000000"/>
          <w:sz w:val="24"/>
        </w:rPr>
      </w:r>
    </w:p>
    <w:p>
      <w:r>
        <w:rPr>
          <w:rFonts w:ascii="Times New Roman" w:hAnsi="Times New Roman" w:eastAsia="楷体" w:cs="Times New Roman"/>
          <w:b w:val="0"/>
          <w:color w:val="000000"/>
          <w:sz w:val="24"/>
        </w:rPr>
        <w:t>加入记忆后，综合 MAE 从 3.1762 降至 2.4490，下降 22.89%；MIMIC 与 VitalDB 分别下降 21.00% 和 24.65%。30 人中，SBP 改善 28 人，DBP 改善 30 人，综合误差改善 29 人；没有剔除最差的人或窗口。</w:t>
      </w:r>
    </w:p>
    <w:p>
      <w:r>
        <w:rPr>
          <w:rFonts w:ascii="Times New Roman" w:hAnsi="Times New Roman" w:eastAsia="楷体" w:cs="Times New Roman"/>
          <w:b w:val="0"/>
          <w:color w:val="000000"/>
          <w:sz w:val="24"/>
        </w:rPr>
        <w:t>这支持保留该候选继续验证，但尚未计算置信区间或进行多次独立重复。30 人与 2,506 人不是相同测试队列，不能根据两张表的绝对分数判断哪次训练更强。</w:t>
      </w:r>
    </w:p>
    <w:p>
      <w:pPr>
        <w:sectPr>
          <w:pgSz w:w="12240" w:h="15840"/>
          <w:pgMar w:top="864" w:right="1080" w:bottom="864" w:left="1080" w:header="317" w:footer="317" w:gutter="0"/>
          <w:cols w:space="720"/>
          <w:docGrid w:linePitch="360"/>
        </w:sectPr>
      </w:pPr>
    </w:p>
    <w:p>
      <w:pPr>
        <w:pStyle w:val="Heading1"/>
      </w:pPr>
      <w:r>
        <w:rPr>
          <w:rFonts w:ascii="Times New Roman" w:hAnsi="Times New Roman" w:eastAsia="楷体" w:cs="Times New Roman"/>
          <w:b/>
          <w:color w:val="000000"/>
          <w:sz w:val="32"/>
        </w:rPr>
        <w:t>六 官方 CalBased 完整指标</w:t>
      </w:r>
    </w:p>
    <w:p>
      <w:r>
        <w:rPr>
          <w:rFonts w:ascii="Times New Roman" w:hAnsi="Times New Roman" w:eastAsia="楷体" w:cs="Times New Roman"/>
          <w:b w:val="0"/>
          <w:color w:val="000000"/>
          <w:sz w:val="24"/>
        </w:rPr>
        <w:t>L 表示个人 LoRA；L+M 表示 LoRA 加固定参考记忆。MAE、ME、STD 的单位为 mmHg；阈值列为绝对误差不超过对应数值的比例。每个来源均同时展示两个方法，全部测试窗口保留。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691"/>
        <w:gridCol w:w="1166"/>
        <w:gridCol w:w="1037"/>
        <w:gridCol w:w="1181"/>
        <w:gridCol w:w="1181"/>
        <w:gridCol w:w="1310"/>
        <w:gridCol w:w="1310"/>
        <w:gridCol w:w="1310"/>
        <w:gridCol w:w="1109"/>
        <w:gridCol w:w="1008"/>
      </w:tblGrid>
      <w:tr>
        <w:trPr>
          <w:cantSplit/>
          <w:tblHeader/>
        </w:trPr>
        <w:tc>
          <w:tcPr>
            <w:tcW w:type="dxa" w:w="2189"/>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Setting</w:t>
            </w:r>
          </w:p>
        </w:tc>
        <w:tc>
          <w:tcPr>
            <w:tcW w:type="dxa" w:w="691"/>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BP</w:t>
            </w:r>
          </w:p>
        </w:tc>
        <w:tc>
          <w:tcPr>
            <w:tcW w:type="dxa" w:w="1166"/>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MAE</w:t>
            </w:r>
          </w:p>
        </w:tc>
        <w:tc>
          <w:tcPr>
            <w:tcW w:type="dxa" w:w="1037"/>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R²</w:t>
            </w:r>
          </w:p>
        </w:tc>
        <w:tc>
          <w:tcPr>
            <w:tcW w:type="dxa" w:w="1181"/>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ME</w:t>
            </w:r>
          </w:p>
        </w:tc>
        <w:tc>
          <w:tcPr>
            <w:tcW w:type="dxa" w:w="1181"/>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STD</w:t>
            </w:r>
          </w:p>
        </w:tc>
        <w:tc>
          <w:tcPr>
            <w:tcW w:type="dxa" w:w="1310"/>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≤5</w:t>
              <w:br/>
              <w:t>mmHg</w:t>
            </w:r>
          </w:p>
        </w:tc>
        <w:tc>
          <w:tcPr>
            <w:tcW w:type="dxa" w:w="1310"/>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≤10</w:t>
              <w:br/>
              <w:t>mmHg</w:t>
            </w:r>
          </w:p>
        </w:tc>
        <w:tc>
          <w:tcPr>
            <w:tcW w:type="dxa" w:w="1310"/>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≤15</w:t>
              <w:br/>
              <w:t>mmHg</w:t>
            </w:r>
          </w:p>
        </w:tc>
        <w:tc>
          <w:tcPr>
            <w:tcW w:type="dxa" w:w="1109"/>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AAMI</w:t>
            </w:r>
          </w:p>
        </w:tc>
        <w:tc>
          <w:tcPr>
            <w:tcW w:type="dxa" w:w="1008"/>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BHS</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Overall L</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SBP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3.8207</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0.9237</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0.1978</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5.7986</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75.40%</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93.04%</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97.46%</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Overall L</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DBP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2.0994</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0.9185</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0.0296</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3.6076</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91.56%</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98.37%</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99.41%</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Overall L+M</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SBP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3.4210</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0.9318</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-0.0451</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5.4852</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79.55%</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93.86%</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97.64%</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Overall L+M</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DBP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1.8858</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0.9255</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-0.0512</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3.4493</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92.56%</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98.37%</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99.38%</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MIMIC L</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SBP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4.1920</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0.9215</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0.2407</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6.3309</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72.18%</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91.41%</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96.65%</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MIMIC L</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DBP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2.2802</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0.9056</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-0.0423</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4.0314</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90.23%</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97.70%</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99.03%</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MIMIC L+M</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SBP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3.8073</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0.9296</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-0.0575</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6.0005</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76.28%</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92.37%</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96.90%</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MIMIC L+M</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DBP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2.0699</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0.9134</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-0.0809</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3.8611</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91.20%</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97.72%</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99.03%</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VitalDB L</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SBP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3.4724</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0.9223</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0.1577</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5.2500</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78.43%</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94.56%</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98.23%</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VitalDB L</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DBP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1.9298</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0.9315</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0.0971</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3.1573</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92.81%</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99.00%</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99.76%</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VitalDB L+M</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SBP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3.0587</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0.9309</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-0.0334</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4.9533</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82.63%</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95.26%</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98.34%</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VitalDB L+M</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DBP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1.7132</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0.9377</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-0.0233</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3.0120</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93.85%</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98.97%</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99.70%</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bl>
    <w:p>
      <w:pPr>
        <w:spacing w:after="20" w:line="20" w:lineRule="exact"/>
      </w:pPr>
      <w:r>
        <w:rPr>
          <w:rFonts w:ascii="Times New Roman" w:hAnsi="Times New Roman" w:eastAsia="楷体" w:cs="Times New Roman"/>
          <w:b w:val="0"/>
          <w:color w:val="000000"/>
          <w:sz w:val="24"/>
        </w:rPr>
      </w:r>
    </w:p>
    <w:p>
      <w:r>
        <w:rPr>
          <w:rFonts w:ascii="Times New Roman" w:hAnsi="Times New Roman" w:eastAsia="楷体" w:cs="Times New Roman"/>
          <w:b w:val="0"/>
          <w:color w:val="000000"/>
          <w:sz w:val="24"/>
        </w:rPr>
        <w:t>本表共有 2,506 人、100,240 个测试窗口。每人恰有 40 个查询，因此本表窗口汇总 MAE 与受试者宏平均 MAE 相等。R²、ME、STD 及阈值比例按对应来源的全部窗口汇总；STD 使用样本标准差，误差定义为预测值减参考值。</w:t>
      </w:r>
    </w:p>
    <w:p>
      <w:r>
        <w:rPr>
          <w:rFonts w:ascii="Times New Roman" w:hAnsi="Times New Roman" w:eastAsia="楷体" w:cs="Times New Roman"/>
          <w:b w:val="0"/>
          <w:color w:val="000000"/>
          <w:sz w:val="24"/>
        </w:rPr>
        <w:t>* AAMI 为项目中的数值筛查：绝对 ME ≤ 5 且 STD ≤ 8。BHS 的 A* 为历史 Grade A 数值筛查：≤5、≤10、≤15 mmHg 的占比分别至少 60%、85%、95%。这不等于完成 AAMI/ISO 全部受试者条件、标准验证流程或器械认证，不能据此声称获得临床认证。</w:t>
      </w:r>
    </w:p>
    <w:p>
      <w:pPr>
        <w:sectPr>
          <w:pgSz w:w="15840" w:h="12240" w:orient="landscape"/>
          <w:pgMar w:top="864" w:right="864" w:bottom="864" w:left="864" w:header="317" w:footer="317" w:gutter="0"/>
          <w:cols w:space="720"/>
          <w:docGrid w:linePitch="360"/>
        </w:sectPr>
      </w:pPr>
    </w:p>
    <w:p>
      <w:pPr>
        <w:pStyle w:val="Heading1"/>
      </w:pPr>
      <w:r>
        <w:rPr>
          <w:rFonts w:ascii="Times New Roman" w:hAnsi="Times New Roman" w:eastAsia="楷体" w:cs="Times New Roman"/>
          <w:b/>
          <w:color w:val="000000"/>
          <w:sz w:val="32"/>
        </w:rPr>
        <w:t>七 30 人后注册完整指标</w:t>
      </w:r>
    </w:p>
    <w:p>
      <w:r>
        <w:rPr>
          <w:rFonts w:ascii="Times New Roman" w:hAnsi="Times New Roman" w:eastAsia="楷体" w:cs="Times New Roman"/>
          <w:b w:val="0"/>
          <w:color w:val="000000"/>
          <w:sz w:val="24"/>
        </w:rPr>
        <w:t>L 表示为这 30 人新建的个人 LoRA；L+M 表示其上加入本人的参考记忆。这里的公共模型排除了全部 30 人。注册后测试使用相同的 1,200 个查询窗口，未用测试误差筛人或调整融合参数。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691"/>
        <w:gridCol w:w="1166"/>
        <w:gridCol w:w="1037"/>
        <w:gridCol w:w="1181"/>
        <w:gridCol w:w="1181"/>
        <w:gridCol w:w="1310"/>
        <w:gridCol w:w="1310"/>
        <w:gridCol w:w="1310"/>
        <w:gridCol w:w="1109"/>
        <w:gridCol w:w="1008"/>
      </w:tblGrid>
      <w:tr>
        <w:trPr>
          <w:cantSplit/>
          <w:tblHeader/>
        </w:trPr>
        <w:tc>
          <w:tcPr>
            <w:tcW w:type="dxa" w:w="2189"/>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Setting</w:t>
            </w:r>
          </w:p>
        </w:tc>
        <w:tc>
          <w:tcPr>
            <w:tcW w:type="dxa" w:w="691"/>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BP</w:t>
            </w:r>
          </w:p>
        </w:tc>
        <w:tc>
          <w:tcPr>
            <w:tcW w:type="dxa" w:w="1166"/>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MAE</w:t>
            </w:r>
          </w:p>
        </w:tc>
        <w:tc>
          <w:tcPr>
            <w:tcW w:type="dxa" w:w="1037"/>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R²</w:t>
            </w:r>
          </w:p>
        </w:tc>
        <w:tc>
          <w:tcPr>
            <w:tcW w:type="dxa" w:w="1181"/>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ME</w:t>
            </w:r>
          </w:p>
        </w:tc>
        <w:tc>
          <w:tcPr>
            <w:tcW w:type="dxa" w:w="1181"/>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STD</w:t>
            </w:r>
          </w:p>
        </w:tc>
        <w:tc>
          <w:tcPr>
            <w:tcW w:type="dxa" w:w="1310"/>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≤5</w:t>
              <w:br/>
              <w:t>mmHg</w:t>
            </w:r>
          </w:p>
        </w:tc>
        <w:tc>
          <w:tcPr>
            <w:tcW w:type="dxa" w:w="1310"/>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≤10</w:t>
              <w:br/>
              <w:t>mmHg</w:t>
            </w:r>
          </w:p>
        </w:tc>
        <w:tc>
          <w:tcPr>
            <w:tcW w:type="dxa" w:w="1310"/>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≤15</w:t>
              <w:br/>
              <w:t>mmHg</w:t>
            </w:r>
          </w:p>
        </w:tc>
        <w:tc>
          <w:tcPr>
            <w:tcW w:type="dxa" w:w="1109"/>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AAMI</w:t>
            </w:r>
          </w:p>
        </w:tc>
        <w:tc>
          <w:tcPr>
            <w:tcW w:type="dxa" w:w="1008"/>
            <w:vAlign w:val="center"/>
            <w:tcMar>
              <w:top w:w="65" w:type="dxa"/>
              <w:bottom w:w="65" w:type="dxa"/>
              <w:left w:w="65" w:type="dxa"/>
              <w:right w:w="65" w:type="dxa"/>
            </w:tcMar>
            <w:shd w:fill="F2F2F2"/>
          </w:tcPr>
          <w:p>
            <w:pPr>
              <w:spacing w:after="0" w:before="0" w:line="252" w:lineRule="auto"/>
              <w:jc w:val="center"/>
            </w:pPr>
            <w:r>
              <w:rPr>
                <w:rFonts w:ascii="Times New Roman" w:hAnsi="Times New Roman" w:eastAsia="楷体" w:cs="Times New Roman"/>
                <w:b/>
                <w:color w:val="000000"/>
                <w:sz w:val="24"/>
              </w:rPr>
              <w:t>BHS</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Overall L</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SBP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4.0749</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0.9272</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0.1723</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6.1558</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72.92%</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92.75%</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96.67%</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Overall L</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DBP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2.2775</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0.9161</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-0.0599</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3.4770</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89.75%</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97.67%</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99.33%</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Overall L+M</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SBP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3.1515</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0.9562</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0.0108</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4.7765</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80.50%</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95.67%</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97.83%</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Overall L+M</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DBP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1.7466</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0.9472</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-0.0849</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2.7576</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92.42%</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98.83%</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99.83%</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MIMIC L</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SBP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3.8486</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0.9418</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0.5098</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5.7337</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74.50%</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94.33%</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97.00%</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MIMIC L</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DBP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2.2589</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0.8635</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0.0950</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3.6215</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91.17%</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97.33%</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98.83%</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MIMIC L+M</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SBP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3.0666</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0.9597</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0.1817</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4.7874</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81.33%</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96.50%</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98.17%</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MIMIC L+M</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DBP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1.7583</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0.9128</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-0.0419</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2.8959</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92.83%</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98.67%</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99.83%</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VitalDB L</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SBP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4.3011</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0.9093</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-0.1653</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6.5381</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71.33%</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91.17%</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96.33%</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VitalDB L</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DBP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2.2961</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0.9376</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-0.2148</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3.3220</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88.33%</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98.00%</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99.83%</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VitalDB L+M</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SBP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3.2364</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0.9518</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-0.1600</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4.7635</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79.67%</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94.83%</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97.50%</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r>
        <w:trPr>
          <w:cantSplit/>
        </w:trPr>
        <w:tc>
          <w:tcPr>
            <w:tcW w:type="dxa" w:w="2189"/>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VitalDB L+M</w:t>
            </w:r>
          </w:p>
        </w:tc>
        <w:tc>
          <w:tcPr>
            <w:tcW w:type="dxa" w:w="69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DBP</w:t>
            </w:r>
          </w:p>
        </w:tc>
        <w:tc>
          <w:tcPr>
            <w:tcW w:type="dxa" w:w="1166"/>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1.7349</w:t>
            </w:r>
          </w:p>
        </w:tc>
        <w:tc>
          <w:tcPr>
            <w:tcW w:type="dxa" w:w="1037"/>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0.9614</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-0.1279</w:t>
            </w:r>
          </w:p>
        </w:tc>
        <w:tc>
          <w:tcPr>
            <w:tcW w:type="dxa" w:w="1181"/>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2.6136</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92.00%</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99.00%</w:t>
            </w:r>
          </w:p>
        </w:tc>
        <w:tc>
          <w:tcPr>
            <w:tcW w:type="dxa" w:w="1310"/>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99.83%</w:t>
            </w:r>
          </w:p>
        </w:tc>
        <w:tc>
          <w:tcPr>
            <w:tcW w:type="dxa" w:w="1109"/>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Pass*</w:t>
            </w:r>
          </w:p>
        </w:tc>
        <w:tc>
          <w:tcPr>
            <w:tcW w:type="dxa" w:w="1008"/>
            <w:vAlign w:val="center"/>
            <w:tcMar>
              <w:top w:w="65" w:type="dxa"/>
              <w:bottom w:w="65" w:type="dxa"/>
              <w:left w:w="65" w:type="dxa"/>
              <w:right w:w="65" w:type="dxa"/>
            </w:tcMar>
          </w:tcPr>
          <w:p>
            <w:pPr>
              <w:spacing w:after="0" w:before="0" w:line="252" w:lineRule="auto"/>
              <w:jc w:val="center"/>
            </w:pPr>
            <w:r>
              <w:rPr>
                <w:rFonts w:ascii="Times New Roman" w:hAnsi="Times New Roman" w:eastAsia="楷体" w:cs="Times New Roman"/>
                <w:b w:val="0"/>
                <w:color w:val="000000"/>
                <w:sz w:val="24"/>
              </w:rPr>
              <w:t>A*</w:t>
            </w:r>
          </w:p>
        </w:tc>
      </w:tr>
    </w:tbl>
    <w:p>
      <w:pPr>
        <w:spacing w:after="20" w:line="20" w:lineRule="exact"/>
      </w:pPr>
      <w:r>
        <w:rPr>
          <w:rFonts w:ascii="Times New Roman" w:hAnsi="Times New Roman" w:eastAsia="楷体" w:cs="Times New Roman"/>
          <w:b w:val="0"/>
          <w:color w:val="000000"/>
          <w:sz w:val="24"/>
        </w:rPr>
      </w:r>
    </w:p>
    <w:p>
      <w:r>
        <w:rPr>
          <w:rFonts w:ascii="Times New Roman" w:hAnsi="Times New Roman" w:eastAsia="楷体" w:cs="Times New Roman"/>
          <w:b w:val="0"/>
          <w:color w:val="000000"/>
          <w:sz w:val="24"/>
        </w:rPr>
        <w:t>本表共有 30 人、1,200 个测试窗口，MIMIC 与 VitalDB 各 15 人、600 窗口。两个方法均达到表内的 AAMI 数值筛查及 BHS Grade A 数值阈值；记忆方法的 Overall STD 为 SBP 4.7765、DBP 2.7576 mmHg。</w:t>
      </w:r>
    </w:p>
    <w:p>
      <w:r>
        <w:rPr>
          <w:rFonts w:ascii="Times New Roman" w:hAnsi="Times New Roman" w:eastAsia="楷体" w:cs="Times New Roman"/>
          <w:b w:val="0"/>
          <w:color w:val="000000"/>
          <w:sz w:val="24"/>
        </w:rPr>
        <w:t>* 统计口径与上一页相同。30 人是公共数据上的算法实验，不能替代规定样本构成、测量规程、独立参考与真实设备验证。全局 R² 较高也不能单独证明模型能准确跟踪同一个人在未来日期的血压变化。</w:t>
      </w:r>
    </w:p>
    <w:p>
      <w:pPr>
        <w:sectPr>
          <w:pgSz w:w="15840" w:h="12240" w:orient="landscape"/>
          <w:pgMar w:top="864" w:right="864" w:bottom="864" w:left="864" w:header="317" w:footer="317" w:gutter="0"/>
          <w:cols w:space="720"/>
          <w:docGrid w:linePitch="360"/>
        </w:sectPr>
      </w:pPr>
    </w:p>
    <w:p>
      <w:pPr>
        <w:pStyle w:val="Heading1"/>
      </w:pPr>
      <w:r>
        <w:rPr>
          <w:rFonts w:ascii="Times New Roman" w:hAnsi="Times New Roman" w:eastAsia="楷体" w:cs="Times New Roman"/>
          <w:b/>
          <w:color w:val="000000"/>
          <w:sz w:val="32"/>
        </w:rPr>
        <w:t>八 手表原始 PPG 与个人长期积累的计划</w:t>
      </w:r>
    </w:p>
    <w:p>
      <w:pPr>
        <w:pStyle w:val="Heading2"/>
      </w:pPr>
      <w:r>
        <w:rPr>
          <w:rFonts w:ascii="Times New Roman" w:hAnsi="Times New Roman" w:eastAsia="楷体" w:cs="Times New Roman"/>
          <w:b/>
          <w:color w:val="000000"/>
          <w:sz w:val="26"/>
        </w:rPr>
        <w:t>先确认设备数据能用</w:t>
      </w:r>
    </w:p>
    <w:p>
      <w:r>
        <w:rPr>
          <w:rFonts w:ascii="Times New Roman" w:hAnsi="Times New Roman" w:eastAsia="楷体" w:cs="Times New Roman"/>
          <w:b w:val="0"/>
          <w:color w:val="000000"/>
          <w:sz w:val="24"/>
        </w:rPr>
        <w:t>拟使用能导出原始 PPG 的手表，同步获得经验证的上臂袖带参考血压。具体手表型号尚未确定，采样率、波长、时间戳精度、连续导出、丢包和厂商滤波都需要实测。部分设备的官方 SDK 提供原始 PPG，例如 Samsung Health Sensor SDK；这只是可行入口，不能替代对实际手表的确认。[4]</w:t>
      </w:r>
    </w:p>
    <w:p>
      <w:r>
        <w:rPr>
          <w:rFonts w:ascii="Times New Roman" w:hAnsi="Times New Roman" w:eastAsia="楷体" w:cs="Times New Roman"/>
          <w:b w:val="0"/>
          <w:color w:val="000000"/>
          <w:sz w:val="24"/>
        </w:rPr>
        <w:t>当前模型使用 125 Hz 的滤波 PPG。新设备必须建立明确的滤波、重采样、分窗和质量检查流程。低采样率插值不能恢复没有采到的波形细节。临床来源 PPG 与腕部反射式 PPG 的差异，以及 ABP 衍生标签与袖带读数的差异，都可能使现有精度下降。</w:t>
      </w:r>
    </w:p>
    <w:p>
      <w:pPr>
        <w:pStyle w:val="Heading2"/>
      </w:pPr>
      <w:r>
        <w:rPr>
          <w:rFonts w:ascii="Times New Roman" w:hAnsi="Times New Roman" w:eastAsia="楷体" w:cs="Times New Roman"/>
          <w:b/>
          <w:color w:val="000000"/>
          <w:sz w:val="26"/>
        </w:rPr>
        <w:t>每次袖带测量作为一个独立事件</w:t>
      </w:r>
    </w:p>
    <w:p>
      <w:r>
        <w:rPr>
          <w:rFonts w:ascii="Times New Roman" w:hAnsi="Times New Roman" w:eastAsia="楷体" w:cs="Times New Roman"/>
          <w:b w:val="0"/>
          <w:color w:val="000000"/>
          <w:sz w:val="24"/>
        </w:rPr>
        <w:t>每次参考测量记录袖带起止时间、对应 PPG 时段、姿势、腕侧、设备与佩戴状态。袖带充气可能改变同侧末梢 PPG，需在试采和伦理方案中明确时段配对或对侧测量方案，并记录相应局限；不能把附近任意窗口当作严格同步真值。</w:t>
      </w:r>
    </w:p>
    <w:p>
      <w:r>
        <w:rPr>
          <w:rFonts w:ascii="Times New Roman" w:hAnsi="Times New Roman" w:eastAsia="楷体" w:cs="Times New Roman"/>
          <w:b w:val="0"/>
          <w:color w:val="000000"/>
          <w:sz w:val="24"/>
        </w:rPr>
        <w:t>一次袖带测量可以对应多个 10 秒 PPG 窗口，但仍只算一次独立校准事件。同一事件及相邻重叠窗口必须归属同一训练、选择或测试角色，避免靠切窗增加表面样本量。</w:t>
      </w:r>
    </w:p>
    <w:p>
      <w:pPr>
        <w:pStyle w:val="Heading2"/>
      </w:pPr>
      <w:r>
        <w:rPr>
          <w:rFonts w:ascii="Times New Roman" w:hAnsi="Times New Roman" w:eastAsia="楷体" w:cs="Times New Roman"/>
          <w:b/>
          <w:color w:val="000000"/>
          <w:sz w:val="26"/>
        </w:rPr>
        <w:t>先预测并冻结 再允许更新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608"/>
        <w:gridCol w:w="3888"/>
      </w:tblGrid>
      <w:tr>
        <w:trPr>
          <w:cantSplit/>
          <w:tblHeader/>
        </w:trPr>
        <w:tc>
          <w:tcPr>
            <w:tcW w:type="dxa" w:w="1584"/>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阶段</w:t>
            </w:r>
          </w:p>
        </w:tc>
        <w:tc>
          <w:tcPr>
            <w:tcW w:type="dxa" w:w="4608"/>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拟执行的操作</w:t>
            </w:r>
          </w:p>
        </w:tc>
        <w:tc>
          <w:tcPr>
            <w:tcW w:type="dxa" w:w="3888"/>
            <w:vAlign w:val="center"/>
            <w:tcMar>
              <w:top w:w="65" w:type="dxa"/>
              <w:bottom w:w="65" w:type="dxa"/>
              <w:left w:w="65" w:type="dxa"/>
              <w:right w:w="65" w:type="dxa"/>
            </w:tcMar>
            <w:shd w:fill="F2F2F2"/>
          </w:tcPr>
          <w:p>
            <w:pPr>
              <w:spacing w:after="0" w:before="0" w:line="252" w:lineRule="auto"/>
              <w:jc w:val="left"/>
            </w:pPr>
            <w:r>
              <w:rPr>
                <w:rFonts w:ascii="Times New Roman" w:hAnsi="Times New Roman" w:eastAsia="楷体" w:cs="Times New Roman"/>
                <w:b/>
                <w:color w:val="000000"/>
                <w:sz w:val="24"/>
              </w:rPr>
              <w:t>评价边界</w:t>
            </w:r>
          </w:p>
        </w:tc>
      </w:tr>
      <w:tr>
        <w:trPr>
          <w:cantSplit/>
        </w:trPr>
        <w:tc>
          <w:tcPr>
            <w:tcW w:type="dxa" w:w="1584"/>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设备试采</w:t>
            </w:r>
          </w:p>
        </w:tc>
        <w:tc>
          <w:tcPr>
            <w:tcW w:type="dxa" w:w="4608"/>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核实原始数据、时间对齐、质量与导出</w:t>
            </w:r>
          </w:p>
        </w:tc>
        <w:tc>
          <w:tcPr>
            <w:tcW w:type="dxa" w:w="3888"/>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只确认流程，不承诺血压准确度</w:t>
            </w:r>
          </w:p>
        </w:tc>
      </w:tr>
      <w:tr>
        <w:trPr>
          <w:cantSplit/>
        </w:trPr>
        <w:tc>
          <w:tcPr>
            <w:tcW w:type="dxa" w:w="1584"/>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初始个人建档</w:t>
            </w:r>
          </w:p>
        </w:tc>
        <w:tc>
          <w:tcPr>
            <w:tcW w:type="dxa" w:w="4608"/>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用早期日期的配对记录拟合个人 LoRA 和记忆</w:t>
            </w:r>
          </w:p>
        </w:tc>
        <w:tc>
          <w:tcPr>
            <w:tcW w:type="dxa" w:w="3888"/>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只用已获得的参考标签</w:t>
            </w:r>
          </w:p>
        </w:tc>
      </w:tr>
      <w:tr>
        <w:trPr>
          <w:cantSplit/>
        </w:trPr>
        <w:tc>
          <w:tcPr>
            <w:tcW w:type="dxa" w:w="1584"/>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后续日期测试</w:t>
            </w:r>
          </w:p>
        </w:tc>
        <w:tc>
          <w:tcPr>
            <w:tcW w:type="dxa" w:w="4608"/>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冻结档案，用更晚日期的 PPG 先生成预测</w:t>
            </w:r>
          </w:p>
        </w:tc>
        <w:tc>
          <w:tcPr>
            <w:tcW w:type="dxa" w:w="3888"/>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该次参考 BP 不得提前入库</w:t>
            </w:r>
          </w:p>
        </w:tc>
      </w:tr>
      <w:tr>
        <w:trPr>
          <w:cantSplit/>
        </w:trPr>
        <w:tc>
          <w:tcPr>
            <w:tcW w:type="dxa" w:w="1584"/>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累计更新</w:t>
            </w:r>
          </w:p>
        </w:tc>
        <w:tc>
          <w:tcPr>
            <w:tcW w:type="dxa" w:w="4608"/>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完成该次评分后，将可信新测量纳入下一版档案</w:t>
            </w:r>
          </w:p>
        </w:tc>
        <w:tc>
          <w:tcPr>
            <w:tcW w:type="dxa" w:w="3888"/>
            <w:vAlign w:val="center"/>
            <w:tcMar>
              <w:top w:w="65" w:type="dxa"/>
              <w:bottom w:w="65" w:type="dxa"/>
              <w:left w:w="65" w:type="dxa"/>
              <w:right w:w="65" w:type="dxa"/>
            </w:tcMar>
          </w:tcPr>
          <w:p>
            <w:pPr>
              <w:spacing w:after="0" w:before="0" w:line="252" w:lineRule="auto"/>
              <w:jc w:val="left"/>
            </w:pPr>
            <w:r>
              <w:rPr>
                <w:rFonts w:ascii="Times New Roman" w:hAnsi="Times New Roman" w:eastAsia="楷体" w:cs="Times New Roman"/>
                <w:b w:val="0"/>
                <w:color w:val="000000"/>
                <w:sz w:val="24"/>
              </w:rPr>
              <w:t>只影响未来预测，保留旧版与更新日志</w:t>
            </w:r>
          </w:p>
        </w:tc>
      </w:tr>
    </w:tbl>
    <w:p>
      <w:pPr>
        <w:spacing w:after="20" w:line="20" w:lineRule="exact"/>
      </w:pPr>
      <w:r>
        <w:rPr>
          <w:rFonts w:ascii="Times New Roman" w:hAnsi="Times New Roman" w:eastAsia="楷体" w:cs="Times New Roman"/>
          <w:b w:val="0"/>
          <w:color w:val="000000"/>
          <w:sz w:val="24"/>
        </w:rPr>
      </w:r>
    </w:p>
    <w:p>
      <w:r>
        <w:rPr>
          <w:rFonts w:ascii="Times New Roman" w:hAnsi="Times New Roman" w:eastAsia="楷体" w:cs="Times New Roman"/>
          <w:b w:val="0"/>
          <w:color w:val="000000"/>
          <w:sz w:val="24"/>
        </w:rPr>
        <w:t>手机或服务器端先完成预测与建档，再评估是否需要部署到手表。当前尚未测量手表端耗时、功耗或存储。持续采集但没有配对袖带值的 PPG，不能直接当作有标签记忆，也不能把模型自己的预测循环当作真值。</w:t>
      </w:r>
    </w:p>
    <w:p>
      <w:pPr>
        <w:sectPr>
          <w:pgSz w:w="12240" w:h="15840"/>
          <w:pgMar w:top="864" w:right="1080" w:bottom="864" w:left="1080" w:header="317" w:footer="317" w:gutter="0"/>
          <w:cols w:space="720"/>
          <w:docGrid w:linePitch="360"/>
        </w:sectPr>
      </w:pPr>
    </w:p>
    <w:p>
      <w:pPr>
        <w:pStyle w:val="Heading1"/>
      </w:pPr>
      <w:r>
        <w:rPr>
          <w:rFonts w:ascii="Times New Roman" w:hAnsi="Times New Roman" w:eastAsia="楷体" w:cs="Times New Roman"/>
          <w:b/>
          <w:color w:val="000000"/>
          <w:sz w:val="32"/>
        </w:rPr>
        <w:t>九 下一步验证与可主张的贡献</w:t>
      </w:r>
    </w:p>
    <w:p>
      <w:r>
        <w:rPr>
          <w:rFonts w:ascii="Times New Roman" w:hAnsi="Times New Roman" w:eastAsia="楷体" w:cs="Times New Roman"/>
          <w:b w:val="0"/>
          <w:color w:val="000000"/>
          <w:sz w:val="24"/>
        </w:rPr>
        <w:t>当前可以主张的进展是：在明确的有标签个人数据预算下，实现了共享 PPG 网络、个人低秩参数与可检索参考记忆的结合；排除整个人重新训练后，仍能为后来加入者建立独立档案，并在该探索性测试中降低误差。</w:t>
      </w:r>
    </w:p>
    <w:p>
      <w:r>
        <w:rPr>
          <w:rFonts w:ascii="Times New Roman" w:hAnsi="Times New Roman" w:eastAsia="楷体" w:cs="Times New Roman"/>
          <w:b w:val="0"/>
          <w:color w:val="000000"/>
          <w:sz w:val="24"/>
        </w:rPr>
        <w:t>LoRA 和最近邻检索都已有充分先例。“个人参考记忆”可以作为方法的描述性名称，不能仅靠重新命名声称全新机制。本次没有 memory-only 对照，也未完整分离记忆检索、邻近时间与距离门控各自的贡献，尚不能断言已经证明不可替代的协同机制。</w:t>
      </w:r>
    </w:p>
    <w:p>
      <w:pPr>
        <w:pStyle w:val="Heading2"/>
      </w:pPr>
      <w:r>
        <w:rPr>
          <w:rFonts w:ascii="Times New Roman" w:hAnsi="Times New Roman" w:eastAsia="楷体" w:cs="Times New Roman"/>
          <w:b/>
          <w:color w:val="000000"/>
          <w:sz w:val="26"/>
        </w:rPr>
        <w:t>优先安排的验证</w:t>
      </w:r>
    </w:p>
    <w:p>
      <w:r>
        <w:rPr>
          <w:rFonts w:ascii="Times New Roman" w:hAnsi="Times New Roman" w:eastAsia="楷体" w:cs="Times New Roman"/>
          <w:b w:val="0"/>
          <w:color w:val="000000"/>
          <w:sz w:val="24"/>
        </w:rPr>
        <w:t>第一，开展严格早期建档、后期测试的时间外推，报告间隔天数与校准状态的 BP 偏移。公共数据的随机不同窗口结果有用，但不等同于长期历史预测未来。</w:t>
      </w:r>
    </w:p>
    <w:p>
      <w:r>
        <w:rPr>
          <w:rFonts w:ascii="Times New Roman" w:hAnsi="Times New Roman" w:eastAsia="楷体" w:cs="Times New Roman"/>
          <w:b w:val="0"/>
          <w:color w:val="000000"/>
          <w:sz w:val="24"/>
        </w:rPr>
        <w:t>第二，在相同的独立袖带事件预算下比较个人均值、最近一次袖带值、公共模型加基准、单 LoRA、仅记忆、LoRA 加记忆。再分别去掉相似度加权和距离门控，检查提升究竟来自什么。上述新增对照尚未在当前 30 人批次中训练。</w:t>
      </w:r>
    </w:p>
    <w:p>
      <w:r>
        <w:rPr>
          <w:rFonts w:ascii="Times New Roman" w:hAnsi="Times New Roman" w:eastAsia="楷体" w:cs="Times New Roman"/>
          <w:b w:val="0"/>
          <w:color w:val="000000"/>
          <w:sz w:val="24"/>
        </w:rPr>
        <w:t>第三，按独立测量事件数和采集日期增加注册量，观察“积累多少记录才开始稳定改善”。不能把当前 360 个公开数据窗口换算成现实中的固定袖带次数；也不能假定每次更新都会改善。</w:t>
      </w:r>
    </w:p>
    <w:p>
      <w:r>
        <w:rPr>
          <w:rFonts w:ascii="Times New Roman" w:hAnsi="Times New Roman" w:eastAsia="楷体" w:cs="Times New Roman"/>
          <w:b w:val="0"/>
          <w:color w:val="000000"/>
          <w:sz w:val="24"/>
        </w:rPr>
        <w:t>第四，先验证静息和跨日表现，再增加明确记录的活动状态与表带松紧条件。没有接触压力传感器时，只能称佩戴条件变化，不能称精确压力鲁棒性。质量拒测需同时报告覆盖率与被拒窗口分布，不能只展示筛选后的低误差。</w:t>
      </w:r>
    </w:p>
    <w:p>
      <w:pPr>
        <w:pStyle w:val="Heading2"/>
      </w:pPr>
      <w:r>
        <w:rPr>
          <w:rFonts w:ascii="Times New Roman" w:hAnsi="Times New Roman" w:eastAsia="楷体" w:cs="Times New Roman"/>
          <w:b/>
          <w:color w:val="000000"/>
          <w:sz w:val="26"/>
        </w:rPr>
        <w:t>人体实验与解释边界</w:t>
      </w:r>
    </w:p>
    <w:p>
      <w:r>
        <w:rPr>
          <w:rFonts w:ascii="Times New Roman" w:hAnsi="Times New Roman" w:eastAsia="楷体" w:cs="Times New Roman"/>
          <w:b w:val="0"/>
          <w:color w:val="000000"/>
          <w:sz w:val="24"/>
        </w:rPr>
        <w:t>少人数试采可验证设备、配对和建档流程，但不足以宣称临床有效。招募和采集前应完成学校相应伦理审查、知情同意与数据保护安排。[5] 不通过擅自停药或不安全活动人为制造血压变化，研究输出不替代临床测量或治疗决策。</w:t>
      </w:r>
    </w:p>
    <w:p>
      <w:r>
        <w:rPr>
          <w:rFonts w:ascii="Times New Roman" w:hAnsi="Times New Roman" w:eastAsia="楷体" w:cs="Times New Roman"/>
          <w:b w:val="0"/>
          <w:color w:val="000000"/>
          <w:sz w:val="24"/>
        </w:rPr>
        <w:t>AHA 关于无袖带血压设备的声明强调校准质量、运动、姿势与真实使用条件的重要性。[6] 因此，腕部跨日数据应被视为新的验证问题，不能把本页公开数据的数值筛查直接外推到商用手表。</w:t>
      </w:r>
    </w:p>
    <w:p>
      <w:r>
        <w:rPr>
          <w:rFonts w:ascii="Times New Roman" w:hAnsi="Times New Roman" w:eastAsia="楷体" w:cs="Times New Roman"/>
          <w:b w:val="0"/>
          <w:color w:val="000000"/>
          <w:sz w:val="24"/>
        </w:rPr>
        <w:t>目前建议保留“个人 LoRA + 参考记忆”为候选基础模型，把新用户建档与未来日期稳定性作为研究主线。论文是否具有足够新意，应由针对性文献比对、匹配基线和独立验证共同决定，而不是仅凭某一张误差表。</w:t>
      </w:r>
    </w:p>
    <w:p>
      <w:pPr>
        <w:sectPr>
          <w:pgSz w:w="12240" w:h="15840"/>
          <w:pgMar w:top="864" w:right="1080" w:bottom="864" w:left="1080" w:header="317" w:footer="317" w:gutter="0"/>
          <w:cols w:space="720"/>
          <w:docGrid w:linePitch="360"/>
        </w:sectPr>
      </w:pPr>
    </w:p>
    <w:p>
      <w:pPr>
        <w:pStyle w:val="Heading1"/>
      </w:pPr>
      <w:r>
        <w:rPr>
          <w:rFonts w:ascii="Times New Roman" w:hAnsi="Times New Roman" w:eastAsia="楷体" w:cs="Times New Roman"/>
          <w:b/>
          <w:color w:val="000000"/>
          <w:sz w:val="32"/>
        </w:rPr>
        <w:t>十 参考资料与结果追溯</w:t>
      </w:r>
    </w:p>
    <w:p>
      <w:r>
        <w:rPr>
          <w:rFonts w:ascii="Times New Roman" w:hAnsi="Times New Roman" w:eastAsia="楷体" w:cs="Times New Roman"/>
          <w:b w:val="0"/>
          <w:color w:val="000000"/>
          <w:sz w:val="24"/>
        </w:rPr>
        <w:t>[1] Hu EJ 等。LoRA: Low-Rank Adaptation of Large Language Models。arXiv:2106.09685，2021。用于说明低秩适配的原始思想；本项目采用特征层实现，不能称原方法的新发明。</w:t>
      </w:r>
    </w:p>
    <w:p>
      <w:hyperlink r:id="rId10">
        <w:r>
          <w:rPr>
            <w:rFonts w:ascii="Times New Roman" w:hAnsi="Times New Roman" w:eastAsia="楷体"/>
            <w:sz w:val="24"/>
            <w:color w:val="000000"/>
            <w:u w:val="single"/>
          </w:rPr>
          <w:t>https://arxiv.org/abs/2106.09685</w:t>
        </w:r>
      </w:hyperlink>
    </w:p>
    <w:p>
      <w:r>
        <w:rPr>
          <w:rFonts w:ascii="Times New Roman" w:hAnsi="Times New Roman" w:eastAsia="楷体" w:cs="Times New Roman"/>
          <w:b w:val="0"/>
          <w:color w:val="000000"/>
          <w:sz w:val="24"/>
        </w:rPr>
        <w:t>[2] Li M, Chen J, Shi D, Zhang Y, Wang X。Few-Shot Personalized Blood Pressure Estimation From Photoplethysmography and Physiological Priors via Low-Rank Adaptation。IEEE Journal of Biomedical and Health Informatics，2026，30(9):7913–7925。DOI:10.1109/JBHI.2026.3665810。已核验题录与摘要；本文不据此声称复现其完整方法或与其不同数据集结果直接比较。</w:t>
      </w:r>
    </w:p>
    <w:p>
      <w:hyperlink r:id="rId11">
        <w:r>
          <w:rPr>
            <w:rFonts w:ascii="Times New Roman" w:hAnsi="Times New Roman" w:eastAsia="楷体"/>
            <w:sz w:val="24"/>
            <w:color w:val="000000"/>
            <w:u w:val="single"/>
          </w:rPr>
          <w:t>https://pubmed.ncbi.nlm.nih.gov/41701592/</w:t>
        </w:r>
      </w:hyperlink>
    </w:p>
    <w:p>
      <w:r>
        <w:rPr>
          <w:rFonts w:ascii="Times New Roman" w:hAnsi="Times New Roman" w:eastAsia="楷体" w:cs="Times New Roman"/>
          <w:b w:val="0"/>
          <w:color w:val="000000"/>
          <w:sz w:val="24"/>
        </w:rPr>
        <w:t>[3] PulseDB 官方仓库与数据入口。本项目的角色成员来自官方 CalBased 文件；30 人整人留出是独立命名的派生实验。</w:t>
      </w:r>
    </w:p>
    <w:p>
      <w:hyperlink r:id="rId12">
        <w:r>
          <w:rPr>
            <w:rFonts w:ascii="Times New Roman" w:hAnsi="Times New Roman" w:eastAsia="楷体"/>
            <w:sz w:val="24"/>
            <w:color w:val="000000"/>
            <w:u w:val="single"/>
          </w:rPr>
          <w:t>https://github.com/pulselabteam/PulseDB</w:t>
        </w:r>
      </w:hyperlink>
    </w:p>
    <w:p>
      <w:r>
        <w:rPr>
          <w:rFonts w:ascii="Times New Roman" w:hAnsi="Times New Roman" w:eastAsia="楷体" w:cs="Times New Roman"/>
          <w:b w:val="0"/>
          <w:color w:val="000000"/>
          <w:sz w:val="24"/>
        </w:rPr>
        <w:t>[4] Samsung Health Sensor SDK 官方概览。用于核对部分兼容设备的原始传感器数据访问能力，不代表已选定具体手表。</w:t>
      </w:r>
    </w:p>
    <w:p>
      <w:hyperlink r:id="rId13">
        <w:r>
          <w:rPr>
            <w:rFonts w:ascii="Times New Roman" w:hAnsi="Times New Roman" w:eastAsia="楷体"/>
            <w:sz w:val="24"/>
            <w:color w:val="000000"/>
            <w:u w:val="single"/>
          </w:rPr>
          <w:t>https://developer.samsung.com/health/sensor/overview.html</w:t>
        </w:r>
      </w:hyperlink>
    </w:p>
    <w:p>
      <w:r>
        <w:rPr>
          <w:rFonts w:ascii="Times New Roman" w:hAnsi="Times New Roman" w:eastAsia="楷体" w:cs="Times New Roman"/>
          <w:b w:val="0"/>
          <w:color w:val="000000"/>
          <w:sz w:val="24"/>
        </w:rPr>
        <w:t>[5] 香港理工大学 Institutional Review Board 指引。人体实验实施前需按适用程序审查。</w:t>
      </w:r>
    </w:p>
    <w:p>
      <w:hyperlink r:id="rId14">
        <w:r>
          <w:rPr>
            <w:rFonts w:ascii="Times New Roman" w:hAnsi="Times New Roman" w:eastAsia="楷体"/>
            <w:sz w:val="24"/>
            <w:color w:val="000000"/>
            <w:u w:val="single"/>
          </w:rPr>
          <w:t>https://www.polyu.edu.hk/irb/guidelines/</w:t>
        </w:r>
      </w:hyperlink>
    </w:p>
    <w:p>
      <w:r>
        <w:rPr>
          <w:rFonts w:ascii="Times New Roman" w:hAnsi="Times New Roman" w:eastAsia="楷体" w:cs="Times New Roman"/>
          <w:b w:val="0"/>
          <w:color w:val="000000"/>
          <w:sz w:val="24"/>
        </w:rPr>
        <w:t>[6] American Heart Association。Cuffless Devices for the Measurement of Blood Pressure，2025。DOI:10.1161/HYP.0000000000000254。用于界定校准、真实使用与临床验证的限制。</w:t>
      </w:r>
    </w:p>
    <w:p>
      <w:hyperlink r:id="rId15">
        <w:r>
          <w:rPr>
            <w:rFonts w:ascii="Times New Roman" w:hAnsi="Times New Roman" w:eastAsia="楷体"/>
            <w:sz w:val="24"/>
            <w:color w:val="000000"/>
            <w:u w:val="single"/>
          </w:rPr>
          <w:t>https://professional.heart.org/en/science-news/cuffless-devices-for-the-measurement-of-blood-pressure/top-things-to-know</w:t>
        </w:r>
      </w:hyperlink>
    </w:p>
    <w:p>
      <w:pPr>
        <w:pStyle w:val="Heading2"/>
      </w:pPr>
      <w:r>
        <w:rPr>
          <w:rFonts w:ascii="Times New Roman" w:hAnsi="Times New Roman" w:eastAsia="楷体" w:cs="Times New Roman"/>
          <w:b/>
          <w:color w:val="000000"/>
          <w:sz w:val="26"/>
        </w:rPr>
        <w:t>本项目的直接证据</w:t>
      </w:r>
    </w:p>
    <w:p>
      <w:r>
        <w:rPr>
          <w:rFonts w:ascii="Times New Roman" w:hAnsi="Times New Roman" w:eastAsia="楷体" w:cs="Times New Roman"/>
          <w:b w:val="0"/>
          <w:color w:val="000000"/>
          <w:sz w:val="24"/>
        </w:rPr>
        <w:t>已运行的新用户代码版本为 5ee29e7。架构核对来自 models.py、same_subject_components.py 与 lora_prs_models.py；新用户建档、冻结、记忆和重载逻辑来自 post_enrollment_personal.py。文件名中出现 PRS 不表示当前 lora_continue 配置启用了 PRS 分支。</w:t>
      </w:r>
    </w:p>
    <w:p>
      <w:hyperlink r:id="rId16">
        <w:r>
          <w:rPr>
            <w:rFonts w:ascii="Times New Roman" w:hAnsi="Times New Roman" w:eastAsia="楷体"/>
            <w:sz w:val="24"/>
            <w:color w:val="000000"/>
            <w:u w:val="single"/>
          </w:rPr>
          <w:t>官方结果与全部来源表格</w:t>
        </w:r>
      </w:hyperlink>
      <w:r>
        <w:rPr>
          <w:rFonts w:ascii="Times New Roman" w:hAnsi="Times New Roman" w:eastAsia="楷体" w:cs="Times New Roman"/>
          <w:b w:val="0"/>
          <w:color w:val="000000"/>
          <w:sz w:val="24"/>
        </w:rPr>
        <w:t>；</w:t>
      </w:r>
      <w:hyperlink r:id="rId17">
        <w:r>
          <w:rPr>
            <w:rFonts w:ascii="Times New Roman" w:hAnsi="Times New Roman" w:eastAsia="楷体"/>
            <w:sz w:val="24"/>
            <w:color w:val="000000"/>
            <w:u w:val="single"/>
          </w:rPr>
          <w:t>30 人实验报告与校验收据</w:t>
        </w:r>
      </w:hyperlink>
      <w:r>
        <w:rPr>
          <w:rFonts w:ascii="Times New Roman" w:hAnsi="Times New Roman" w:eastAsia="楷体" w:cs="Times New Roman"/>
          <w:b w:val="0"/>
          <w:color w:val="000000"/>
          <w:sz w:val="24"/>
        </w:rPr>
        <w:t>；</w:t>
      </w:r>
      <w:hyperlink r:id="rId18">
        <w:r>
          <w:rPr>
            <w:rFonts w:ascii="Times New Roman" w:hAnsi="Times New Roman" w:eastAsia="楷体"/>
            <w:sz w:val="24"/>
            <w:color w:val="000000"/>
            <w:u w:val="single"/>
          </w:rPr>
          <w:t>持续实验记录</w:t>
        </w:r>
      </w:hyperlink>
      <w:r>
        <w:rPr>
          <w:rFonts w:ascii="Times New Roman" w:hAnsi="Times New Roman" w:eastAsia="楷体" w:cs="Times New Roman"/>
          <w:b w:val="0"/>
          <w:color w:val="000000"/>
          <w:sz w:val="24"/>
        </w:rPr>
        <w:t>。本说明中的完整指标直接读取这两批已保存的 diagnostic_tables.csv，未重训或改写预测。查阅与整理日期为 2026 年 9 月 9 日。</w:t>
      </w:r>
    </w:p>
    <w:p>
      <w:r>
        <w:rPr>
          <w:rFonts w:ascii="Times New Roman" w:hAnsi="Times New Roman" w:eastAsia="楷体" w:cs="Times New Roman"/>
          <w:b w:val="0"/>
          <w:color w:val="000000"/>
          <w:sz w:val="24"/>
        </w:rPr>
        <w:t>仓库只公开代码、汇总结果和方法说明，不公开原始 PPG、逐人预测、个人身份映射、个人适配器或含参考 BP 的个人记忆库。手表试验、长期积累更新和新增消融均为待开展计划，本次未提交新的训练任务。</w:t>
      </w:r>
    </w:p>
    <w:sectPr w:rsidR="00FC693F" w:rsidRPr="0006063C" w:rsidSect="00034616">
      <w:pgSz w:w="12240" w:h="15840"/>
      <w:pgMar w:top="864" w:right="1080" w:bottom="864" w:left="108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楷体" w:cs="Times New Roman"/>
        <w:b w:val="0"/>
        <w:color w:val="000000"/>
        <w:sz w:val="24"/>
      </w:rPr>
      <w:t xml:space="preserve">个人 LoRA 与参考记忆研究说明  ·  </w:t>
    </w:r>
    <w:r>
      <w:rPr>
        <w:rFonts w:ascii="Times New Roman" w:hAnsi="Times New Roman" w:eastAsia="楷体" w:cs="Times New Roman"/>
        <w:b w:val="0"/>
        <w:color w:val="000000"/>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40"/>
    </w:pPr>
    <w:rPr>
      <w:rFonts w:ascii="Times New Roman" w:hAnsi="Times New Roman" w:eastAsia="楷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楷体"/>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楷体"/>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eastAsia="楷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imes New Roman" w:hAnsi="Times New Roman" w:eastAsia="楷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楷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imes New Roman" w:hAnsi="Times New Roman" w:eastAsia="楷体"/>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2106.09685" TargetMode="External"/><Relationship Id="rId11" Type="http://schemas.openxmlformats.org/officeDocument/2006/relationships/hyperlink" Target="https://pubmed.ncbi.nlm.nih.gov/41701592/" TargetMode="External"/><Relationship Id="rId12" Type="http://schemas.openxmlformats.org/officeDocument/2006/relationships/hyperlink" Target="https://github.com/pulselabteam/PulseDB" TargetMode="External"/><Relationship Id="rId13" Type="http://schemas.openxmlformats.org/officeDocument/2006/relationships/hyperlink" Target="https://developer.samsung.com/health/sensor/overview.html" TargetMode="External"/><Relationship Id="rId14" Type="http://schemas.openxmlformats.org/officeDocument/2006/relationships/hyperlink" Target="https://www.polyu.edu.hk/irb/guidelines/" TargetMode="External"/><Relationship Id="rId15" Type="http://schemas.openxmlformats.org/officeDocument/2006/relationships/hyperlink" Target="https://professional.heart.org/en/science-news/cuffless-devices-for-the-measurement-of-blood-pressure/top-things-to-know" TargetMode="External"/><Relationship Id="rId16" Type="http://schemas.openxmlformats.org/officeDocument/2006/relationships/hyperlink" Target="https://github.com/jiangyucheng2006-code/calibration-ppg-bp/blob/method/personal-feature-mechanisms/results/official_calbased_v1_20260909/README.md" TargetMode="External"/><Relationship Id="rId17" Type="http://schemas.openxmlformats.org/officeDocument/2006/relationships/hyperlink" Target="https://github.com/jiangyucheng2006-code/calibration-ppg-bp/blob/method/personal-feature-mechanisms/results/post_enrollment_30_v1_20260909/README.md" TargetMode="External"/><Relationship Id="rId18" Type="http://schemas.openxmlformats.org/officeDocument/2006/relationships/hyperlink" Target="https://github.com/jiangyucheng2006-code/calibration-ppg-bp/blob/method/personal-feature-mechanisms/docs/STATU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 LoRA 与参考记忆的 PPG 血压估计</dc:title>
  <dc:subject>模型实现、后注册实验结果与腕部长期采集计划</dc:subject>
  <dc:creator/>
  <cp:keywords>PPG; blood pressure; personal LoRA; reference memory; enrollment</cp:keywords>
  <dc:description/>
  <cp:lastModifiedBy/>
  <cp:revision>1</cp:revision>
  <dcterms:created xsi:type="dcterms:W3CDTF">2013-12-23T23:15:00Z</dcterms:created>
  <dcterms:modified xsi:type="dcterms:W3CDTF">2013-12-23T23:15:00Z</dcterms:modified>
  <cp:category/>
</cp:coreProperties>
</file>