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微软雅黑" w:cs="Times New Roman"/>
          <w:b/>
          <w:color w:val="000000"/>
          <w:sz w:val="42"/>
        </w:rPr>
        <w:t>PPG 血压模型与实验说明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更新日期　2026 年 9 月 9 日</w:t>
      </w: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一 模型是什么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当前模型是“一维多尺度 ResNet + 个人 LoRA + 个人参考记忆”。输入一段 10 秒 PPG，输出收缩压 SBP 和舒张压 DBP。每位用户保存自己的 LoRA 参数和参考库，预测时调用本人的档案。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55"/>
        <w:gridCol w:w="4565"/>
        <w:gridCol w:w="3960"/>
      </w:tblGrid>
      <w:tr>
        <w:trPr>
          <w:cantSplit/>
          <w:tblHeader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部分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实际设置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做什么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PPG 输入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125 Hz，10 秒，共 1,250 点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读取 PulseDB 的滤波 PPG_F，再逐窗归一化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公共 ResNet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入口卷积核 3、7、15；四个残差块输出 64、96、128、192 通道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提取 PPG 波形特征，最后输出 256 维向量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个人 LoRA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秩为 4，每人 2,048 个参数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对公共特征作个人化修正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血压输出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256→128→2 的回归头，加个人注册 BP 均值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输出 SBP、DBP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个人参考库</w:t>
            </w:r>
          </w:p>
        </w:tc>
        <w:tc>
          <w:tcPr>
            <w:tcW w:type="dxa" w:w="4565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保存本人的 PPG 特征和配对 BP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找相似记录，辅助修正当前预测</w:t>
            </w:r>
          </w:p>
        </w:tc>
      </w:tr>
    </w:tbl>
    <w:p>
      <w:pPr>
        <w:spacing w:after="20" w:line="20" w:lineRule="exact"/>
      </w:pPr>
      <w:r>
        <w:rPr>
          <w:rFonts w:ascii="Times New Roman" w:hAnsi="Times New Roman" w:eastAsia="微软雅黑" w:cs="Times New Roman"/>
          <w:b w:val="0"/>
          <w:color w:val="000000"/>
          <w:sz w:val="24"/>
        </w:rPr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LoRA 基于已有的低秩适配思想。[1,2] 我们的实现放在特征层：把 256 维特征通过个人矩阵 A 降到 4 维，再经 B 映回 256 维，除以 4 后加回原特征。主干不是 Transformer，也没有给每个人单独训练一套完整 ResNet。</w:t>
      </w: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二 我们改了什么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在单 LoRA 上增加了个人参考记忆。LoRA 用少量参数学习本人的波形与血压关系；参考库另外保留“本人以前出现过什么波形，当时血压是多少”。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预测时，先生成当前 PPG 特征，再从本人的合法参考库里找余弦相似度最高的 5 条记录。排除同一窗口及生理时间重叠，用 softmax 相似度加权得到记忆预测，温度为 0.1。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最后根据最近邻距离混合两路预测：相似记录越近，记忆权重越大；离已有记录较远时，主要采用 LoRA。距离尺度只从注册数据估计，使用内部排除同一时间排序块后的第 95 百分位，不用测试 BP 调整权重。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同时增加了新用户建档、个人档案保存和重载检查。新用户不需要在公共训练集里出现，也不是从其他用户的 LoRA 中挑一个，而是用自己的配对记录训练一份新参数。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本次组合没有加入 FiLM、PRS、MoE、人口统计分支或额外的学习型质量门控。网络输入只有 PPG，ABP 仅用于公开数据的参考 BP 标签。</w:t>
      </w:r>
    </w:p>
    <w:p>
      <w:pPr>
        <w:sectPr>
          <w:footerReference w:type="default" r:id="rId9"/>
          <w:pgSz w:w="12240" w:h="15840"/>
          <w:pgMar w:top="864" w:right="1080" w:bottom="864" w:left="1080" w:header="317" w:footer="317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三 数据怎么划分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用了两项不同的实验，结果分别报告。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4032"/>
        <w:gridCol w:w="4104"/>
      </w:tblGrid>
      <w:tr>
        <w:trPr>
          <w:cantSplit/>
          <w:tblHeader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实验</w:t>
            </w:r>
          </w:p>
        </w:tc>
        <w:tc>
          <w:tcPr>
            <w:tcW w:type="dxa" w:w="4032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公共模型训练</w:t>
            </w:r>
          </w:p>
        </w:tc>
        <w:tc>
          <w:tcPr>
            <w:tcW w:type="dxa" w:w="410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个人建档与测试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官方 CalBased</w:t>
            </w:r>
          </w:p>
        </w:tc>
        <w:tc>
          <w:tcPr>
            <w:tcW w:type="dxa" w:w="4032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保留官方角色成员，共 2,506 人；每人 360 个训练窗口</w:t>
            </w:r>
          </w:p>
        </w:tc>
        <w:tc>
          <w:tcPr>
            <w:tcW w:type="dxa" w:w="410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同一批人每人 40 个测试窗口，受试者重合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30 人后注册</w:t>
            </w:r>
          </w:p>
        </w:tc>
        <w:tc>
          <w:tcPr>
            <w:tcW w:type="dxa" w:w="4032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随机整人留出 30 人，用剩余 2,476 人从头训练</w:t>
            </w:r>
          </w:p>
        </w:tc>
        <w:tc>
          <w:tcPr>
            <w:tcW w:type="dxa" w:w="410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30 人各用 360 个窗口建档，再预测另外 40 个窗口</w:t>
            </w:r>
          </w:p>
        </w:tc>
      </w:tr>
    </w:tbl>
    <w:p>
      <w:pPr>
        <w:spacing w:after="20" w:line="20" w:lineRule="exact"/>
      </w:pPr>
      <w:r>
        <w:rPr>
          <w:rFonts w:ascii="Times New Roman" w:hAnsi="Times New Roman" w:eastAsia="微软雅黑" w:cs="Times New Roman"/>
          <w:b w:val="0"/>
          <w:color w:val="000000"/>
          <w:sz w:val="24"/>
        </w:rPr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30 人由 MIMIC、VitalDB 各 15 人组成，随机种子固定为 20260909，没有根据误差挑人。剩余队列为 MIMIC 1,198 人、VitalDB 1,278 人。新用户注册共 10,800 个窗口，测试共 1,200 个窗口。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30 人的全部记录都不参与公共模型训练，也不复用旧模型。两批人的身份和内容交叉重复为零；30 人自己的注册与测试内容重复也为零。官方基准中已有的 35 个跨训练/测试重复内容行按原角色保留，并在结果中披露。[3]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30 人实验是在官方数据上做整人留出的派生划分。注册和测试不是严格按先后日期分开的，下一步手表实验将改成早期建档、后期测试。</w:t>
      </w: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四 实际怎么训练和预测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1. 训练公共模型。用 2,476 人的合法训练记录训练公共网络及这些人的个人参数。内部训练选择第 32 轮，再从头拟合完整合法训练集 32 轮。30 人不参与选择。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2. 给新用户建 LoRA。冻结公共主干、回归头、标签尺度和 BatchNorm 状态，只训练该用户新建的 2,048 个参数。先在注册集合内部用 320/40 窗口选轮数，再重新初始化，使用全部 360 个注册窗口拟合。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3. 建参考库。保存注册记录经个人适配后的特征、配对 BP、窗口标识及公共模型版本。30 人实验的距离尺度按人估计，官方批次则使用合并尺度。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4. 测试。载入本人的档案，对另外 40 个窗口生成 LoRA 和记忆融合预测。全部预测冻结后再加入测试 BP 评分。最终测试不参与个人参数、轮数、基准值或融合权重的调整。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30 人均完成了个人训练；公共权重保持不变，保存后重新加载的预测一致性检查全部通过。新用户只优化小型适配器，不需要再次训练整个公共网络。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当前每人的 360 个窗口是 ABP 衍生标签对应的 10 秒片段，不是 360 次独立袖带测量，也不是只做了 5 次校准。“找 5 条相似记录”只是每次预测时的检索数量。</w:t>
      </w:r>
    </w:p>
    <w:p>
      <w:pPr>
        <w:sectPr>
          <w:pgSz w:w="12240" w:h="15840"/>
          <w:pgMar w:top="864" w:right="1080" w:bottom="864" w:left="1080" w:header="317" w:footer="317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五 30 人后注册结果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L 为新建个人 LoRA，L+M 为 LoRA 加个人参考记忆。MAE、ME、STD 单位为 mmHg；阈值列为绝对误差占比。30 人全部保留，MIMIC 与 VitalDB 各 15 人，每人 40 个测试窗口。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9"/>
        <w:gridCol w:w="691"/>
        <w:gridCol w:w="1166"/>
        <w:gridCol w:w="1037"/>
        <w:gridCol w:w="1181"/>
        <w:gridCol w:w="1181"/>
        <w:gridCol w:w="1310"/>
        <w:gridCol w:w="1310"/>
        <w:gridCol w:w="1310"/>
        <w:gridCol w:w="1109"/>
        <w:gridCol w:w="1008"/>
      </w:tblGrid>
      <w:tr>
        <w:trPr>
          <w:cantSplit/>
          <w:tblHeader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Setting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MAE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R²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ME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STD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≤5</w:t>
              <w:br/>
              <w:t>mmHg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≤10</w:t>
              <w:br/>
              <w:t>mmHg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≤15</w:t>
              <w:br/>
              <w:t>mmHg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AAMI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BHS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4.0749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0.9272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0.1723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6.1558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72.92%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92.75%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96.67%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2.2775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0.9161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-0.0599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3.4770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89.75%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97.67%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99.33%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3.1515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0.9562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0.0108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4.7765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80.50%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95.67%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1.7466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0.9472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-0.0849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2.7576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92.42%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98.83%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3.8486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0.9418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0.5098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5.7337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74.50%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94.33%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97.00%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2.2589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0.8635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0.0950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3.6215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91.17%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97.33%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3.0666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0.9597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0.1817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4.7874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81.33%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96.50%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98.17%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1.7583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0.9128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-0.0419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2.8959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92.83%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98.67%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4.3011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0.9093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-0.1653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6.5381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71.33%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91.17%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96.33%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2.2961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0.9376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-0.2148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3.3220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88.33%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98.00%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3.2364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0.9518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-0.1600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4.7635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79.67%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94.83%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97.50%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1.7349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0.9614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-0.1279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2.6136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92.00%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99.00%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99.83%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</w:tbl>
    <w:p>
      <w:pPr>
        <w:spacing w:after="20" w:line="20" w:lineRule="exact"/>
      </w:pPr>
      <w:r>
        <w:rPr>
          <w:rFonts w:ascii="Times New Roman" w:hAnsi="Times New Roman" w:eastAsia="微软雅黑" w:cs="Times New Roman"/>
          <w:b w:val="0"/>
          <w:color w:val="000000"/>
          <w:sz w:val="24"/>
        </w:rPr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加入记忆后，Overall 的 SBP/DBP MAE 从 4.0749/2.2775 降到 3.1515/1.7466。SBP、DBP 等权综合 MAE 下降 22.89%；MIMIC 下降 21.00%，VitalDB 下降 24.65%。综合误差改善 29/30 人，SBP 改善 28/30 人，DBP 改善 30/30 人。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同批测试中，仅用个人注册 BP 均值的 Overall MAE 为 11.5854/6.0402；公共网络加个人 BP 基准为 10.8464/5.7255。本次没有剔除最差受试者，也尚未进行独立重复或置信区间分析。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* AAMI 的 Pass 为数值筛查：绝对 ME ≤5、STD ≤8。BHS 的 A 为历史 Grade A 数值阈值：≤5/10/15 mmHg 占比分别至少 60%/85%/95%。这不等于完成全部临床验证或器械认证。表内误差为预测减参考，STD 为样本标准差。</w:t>
      </w:r>
    </w:p>
    <w:p>
      <w:pPr>
        <w:sectPr>
          <w:pgSz w:w="15840" w:h="12240" w:orient="landscape"/>
          <w:pgMar w:top="864" w:right="864" w:bottom="864" w:left="864" w:header="317" w:footer="317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六 官方 CalBased 结果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官方基准共 2,506 人、100,240 个测试窗口。L 为个人 LoRA，L+M 为加入固定个人参考记忆。该实验评估训练阶段已有个人档案的受试者，与前页 30 人后注册不是同一个测试队列。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9"/>
        <w:gridCol w:w="691"/>
        <w:gridCol w:w="1166"/>
        <w:gridCol w:w="1037"/>
        <w:gridCol w:w="1181"/>
        <w:gridCol w:w="1181"/>
        <w:gridCol w:w="1310"/>
        <w:gridCol w:w="1310"/>
        <w:gridCol w:w="1310"/>
        <w:gridCol w:w="1109"/>
        <w:gridCol w:w="1008"/>
      </w:tblGrid>
      <w:tr>
        <w:trPr>
          <w:cantSplit/>
          <w:tblHeader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Setting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MAE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R²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ME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STD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≤5</w:t>
              <w:br/>
              <w:t>mmHg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≤10</w:t>
              <w:br/>
              <w:t>mmHg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≤15</w:t>
              <w:br/>
              <w:t>mmHg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AAMI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BHS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3.8207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0.9237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0.1978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5.7986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75.40%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93.04%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97.46%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2.0994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0.9185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0.0296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3.6076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91.56%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98.37%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99.41%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3.4210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0.9318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-0.0451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5.4852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79.55%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93.86%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97.64%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Overall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1.8858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0.9255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-0.0512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3.4493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92.56%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98.37%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99.38%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4.1920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0.9215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0.2407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6.3309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72.18%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91.41%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96.65%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2.2802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0.9056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-0.0423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4.0314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90.23%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97.70%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99.03%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3.8073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0.9296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-0.0575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6.0005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76.28%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92.37%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96.90%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MIMIC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2.0699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0.9134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-0.0809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3.8611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91.20%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97.72%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99.03%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3.4724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0.9223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0.1577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5.2500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78.43%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94.56%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98.23%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1.9298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0.9315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0.0971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3.1573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92.81%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99.00%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99.76%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SBP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3.0587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0.9309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-0.0334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4.9533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82.63%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95.26%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98.34%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VitalDB L+M</w:t>
            </w:r>
          </w:p>
        </w:tc>
        <w:tc>
          <w:tcPr>
            <w:tcW w:type="dxa" w:w="69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DBP</w:t>
            </w:r>
          </w:p>
        </w:tc>
        <w:tc>
          <w:tcPr>
            <w:tcW w:type="dxa" w:w="116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1.7132</w:t>
            </w:r>
          </w:p>
        </w:tc>
        <w:tc>
          <w:tcPr>
            <w:tcW w:type="dxa" w:w="1037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0.9377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-0.0233</w:t>
            </w:r>
          </w:p>
        </w:tc>
        <w:tc>
          <w:tcPr>
            <w:tcW w:type="dxa" w:w="1181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3.0120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93.85%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98.97%</w:t>
            </w:r>
          </w:p>
        </w:tc>
        <w:tc>
          <w:tcPr>
            <w:tcW w:type="dxa" w:w="131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99.70%</w:t>
            </w:r>
          </w:p>
        </w:tc>
        <w:tc>
          <w:tcPr>
            <w:tcW w:type="dxa" w:w="1109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Pass*</w:t>
            </w:r>
          </w:p>
        </w:tc>
        <w:tc>
          <w:tcPr>
            <w:tcW w:type="dxa" w:w="10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A*</w:t>
            </w:r>
          </w:p>
        </w:tc>
      </w:tr>
    </w:tbl>
    <w:p>
      <w:pPr>
        <w:spacing w:after="20" w:line="20" w:lineRule="exact"/>
      </w:pPr>
      <w:r>
        <w:rPr>
          <w:rFonts w:ascii="Times New Roman" w:hAnsi="Times New Roman" w:eastAsia="微软雅黑" w:cs="Times New Roman"/>
          <w:b w:val="0"/>
          <w:color w:val="000000"/>
          <w:sz w:val="24"/>
        </w:rPr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官方基准的综合 MAE 从 2.9601 降到 2.6534，两个来源都改善。另四个学习型记忆候选虽然训练过，但内部选择均保留第 0 轮的固定记忆初始化，没有带来额外改善，所以当前保留较简单的固定记忆组合。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两个实验都分别给出 Overall、MIMIC、VitalDB。主结果先计算每人的 MAE 再对人取平均；本次每人测试窗口数相同，因此等于窗口汇总 MAE。R²、ME、STD 和阈值比例按对应来源的全部窗口计算。MIMIC、VitalDB 是 PulseDB 内部来源，不是手表外部验证。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* AAMI/BHS 标记与前页含义相同。官方来源保留已披露的 35 个跨角色重复内容行；该表不能用来证明新用户免校准能力，也不宜与 30 人结果直接比较绝对高低。</w:t>
      </w:r>
    </w:p>
    <w:p>
      <w:pPr>
        <w:sectPr>
          <w:pgSz w:w="15840" w:h="12240" w:orient="landscape"/>
          <w:pgMar w:top="864" w:right="864" w:bottom="864" w:left="864" w:header="317" w:footer="317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七 手表实验怎么做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完成伦理审批和知情同意后，先用少量志愿者做配对采集试验。使用能导出原始 PPG 的手表和经验证的上臂袖带血压计；先核对实际采样率、波长、时间戳、丢包和厂商滤波。当前尚未确定具体手表型号，也没有完成线下采集。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连续多天，在约定时段采集静息 PPG 与袖带 BP，记录日期、测量起止、姿势、腕侧和佩戴情况。袖带充气会影响同侧 PPG，需要先确定配对时段或对侧方案，不能把附近任意片段都当作同步参考。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4608"/>
        <w:gridCol w:w="3888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阶段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怎么做</w:t>
            </w:r>
          </w:p>
        </w:tc>
        <w:tc>
          <w:tcPr>
            <w:tcW w:type="dxa" w:w="388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F2F2F2"/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000000"/>
                <w:sz w:val="24"/>
              </w:rPr>
              <w:t>保存什么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早期建档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用早期日期的配对记录训练个人 LoRA，建立参考库</w:t>
            </w:r>
          </w:p>
        </w:tc>
        <w:tc>
          <w:tcPr>
            <w:tcW w:type="dxa" w:w="388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原始 PPG、参考 BP、事件与日期标识、个人参数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后期测试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冻结个人档案，用更晚日期的 PPG 先预测，再与袖带值比较</w:t>
            </w:r>
          </w:p>
        </w:tc>
        <w:tc>
          <w:tcPr>
            <w:tcW w:type="dxa" w:w="388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未更新前的预测、参考 BP、距上次校准的时间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累计更新</w:t>
            </w:r>
          </w:p>
        </w:tc>
        <w:tc>
          <w:tcPr>
            <w:tcW w:type="dxa" w:w="460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评分完成后，将可信的新配对记录加入下一版档案，再测试未来数据</w:t>
            </w:r>
          </w:p>
        </w:tc>
        <w:tc>
          <w:tcPr>
            <w:tcW w:type="dxa" w:w="388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before="0" w:line="320" w:lineRule="exact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000000"/>
                <w:sz w:val="24"/>
              </w:rPr>
              <w:t>档案版本、更新记录及更新后的后续表现</w:t>
            </w:r>
          </w:p>
        </w:tc>
      </w:tr>
    </w:tbl>
    <w:p>
      <w:pPr>
        <w:spacing w:after="20" w:line="20" w:lineRule="exact"/>
      </w:pPr>
      <w:r>
        <w:rPr>
          <w:rFonts w:ascii="Times New Roman" w:hAnsi="Times New Roman" w:eastAsia="微软雅黑" w:cs="Times New Roman"/>
          <w:b w:val="0"/>
          <w:color w:val="000000"/>
          <w:sz w:val="24"/>
        </w:rPr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一次袖带测量对应一个校准事件，即使切成多个 10 秒窗口，也只能算一次。同一事件不能同时进入建档和测试。没有参考 BP 的连续 PPG 可以保存，但不能直接作为有标签记忆，也不能把模型自己的预测当作新真值。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对比个人均值、最近一次袖带值、单 LoRA、仅参考记忆、LoRA 加记忆，在相同的校准事件数量下观察：记录积累后有没有改善；隔天或更久后是否仍准确；记忆是否比单 LoRA 有用。先做静息与跨日验证，再考虑运动和佩戴松紧。新设备的 PPG 预处理需要与模型衔接，现有公开数据精度不能直接保证在手表上保持。</w:t>
      </w:r>
    </w:p>
    <w:p>
      <w:pPr>
        <w:pStyle w:val="Heading1"/>
      </w:pPr>
      <w:r>
        <w:rPr>
          <w:rFonts w:ascii="Times New Roman" w:hAnsi="Times New Roman" w:eastAsia="微软雅黑" w:cs="Times New Roman"/>
          <w:b/>
          <w:color w:val="000000"/>
          <w:sz w:val="32"/>
        </w:rPr>
        <w:t>八 资料与结果入口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[1] LoRA 原始论文：</w:t>
      </w:r>
      <w:hyperlink r:id="rId10">
        <w:r>
          <w:rPr>
            <w:rFonts w:ascii="Times New Roman" w:hAnsi="Times New Roman" w:eastAsia="微软雅黑"/>
            <w:sz w:val="24"/>
            <w:color w:val="000000"/>
            <w:u w:val="single"/>
          </w:rPr>
          <w:t>Hu 等，2021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[2] 已有 PPG 个性化 LoRA 论文：</w:t>
      </w:r>
      <w:hyperlink r:id="rId11">
        <w:r>
          <w:rPr>
            <w:rFonts w:ascii="Times New Roman" w:hAnsi="Times New Roman" w:eastAsia="微软雅黑"/>
            <w:sz w:val="24"/>
            <w:color w:val="000000"/>
            <w:u w:val="single"/>
          </w:rPr>
          <w:t>Li 等，IEEE JBHI，2026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。本次核验题录与摘要，不是照搬其完整网络。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 xml:space="preserve">[3] </w:t>
      </w:r>
      <w:hyperlink r:id="rId12">
        <w:r>
          <w:rPr>
            <w:rFonts w:ascii="Times New Roman" w:hAnsi="Times New Roman" w:eastAsia="微软雅黑"/>
            <w:sz w:val="24"/>
            <w:color w:val="000000"/>
            <w:u w:val="single"/>
          </w:rPr>
          <w:t>PulseDB 官方数据入口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。</w:t>
      </w:r>
    </w:p>
    <w:p>
      <w:hyperlink r:id="rId13">
        <w:r>
          <w:rPr>
            <w:rFonts w:ascii="Times New Roman" w:hAnsi="Times New Roman" w:eastAsia="微软雅黑"/>
            <w:sz w:val="24"/>
            <w:color w:val="000000"/>
            <w:u w:val="single"/>
          </w:rPr>
          <w:t>官方结果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；</w:t>
      </w:r>
      <w:hyperlink r:id="rId14">
        <w:r>
          <w:rPr>
            <w:rFonts w:ascii="Times New Roman" w:hAnsi="Times New Roman" w:eastAsia="微软雅黑"/>
            <w:sz w:val="24"/>
            <w:color w:val="000000"/>
            <w:u w:val="single"/>
          </w:rPr>
          <w:t>30 人完整结果与校验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；</w:t>
      </w:r>
      <w:hyperlink r:id="rId15">
        <w:r>
          <w:rPr>
            <w:rFonts w:ascii="Times New Roman" w:hAnsi="Times New Roman" w:eastAsia="微软雅黑"/>
            <w:sz w:val="24"/>
            <w:color w:val="000000"/>
            <w:u w:val="single"/>
          </w:rPr>
          <w:t>持续实验记录</w:t>
        </w:r>
      </w:hyperlink>
      <w:r>
        <w:rPr>
          <w:rFonts w:ascii="Times New Roman" w:hAnsi="Times New Roman" w:eastAsia="微软雅黑" w:cs="Times New Roman"/>
          <w:b w:val="0"/>
          <w:color w:val="000000"/>
          <w:sz w:val="24"/>
        </w:rPr>
        <w:t>。</w:t>
      </w:r>
    </w:p>
    <w:p>
      <w:r>
        <w:rPr>
          <w:rFonts w:ascii="Times New Roman" w:hAnsi="Times New Roman" w:eastAsia="微软雅黑" w:cs="Times New Roman"/>
          <w:b w:val="0"/>
          <w:color w:val="000000"/>
          <w:sz w:val="24"/>
        </w:rPr>
        <w:t>新用户运行代码版本为 5ee29e7。表格直接来自已保存的结果文件；本次只整理报告，没有改动预测或发送新训练。手表采集与累计更新是下一步安排，尚未执行。</w:t>
      </w:r>
    </w:p>
    <w:sectPr w:rsidR="00FC693F" w:rsidRPr="0006063C" w:rsidSect="00034616">
      <w:pgSz w:w="12240" w:h="15840"/>
      <w:pgMar w:top="864" w:right="1080" w:bottom="864" w:left="1080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 w:cs="Times New Roman"/>
        <w:b w:val="0"/>
        <w:color w:val="000000"/>
        <w:sz w:val="24"/>
      </w:rPr>
      <w:t xml:space="preserve">个人 LoRA 与参考记忆研究说明  ·  </w:t>
    </w:r>
    <w:r>
      <w:rPr>
        <w:rFonts w:ascii="Times New Roman" w:hAnsi="Times New Roman" w:eastAsia="微软雅黑" w:cs="Times New Roman"/>
        <w:b w:val="0"/>
        <w:color w:val="000000"/>
        <w:sz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20"/>
      <w:snapToGrid w:val="0"/>
    </w:pPr>
    <w:rPr>
      <w:rFonts w:ascii="Times New Roman" w:hAnsi="Times New Roman" w:eastAsia="微软雅黑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微软雅黑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微软雅黑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40" w:line="440" w:lineRule="exact"/>
      <w:outlineLvl w:val="0"/>
    </w:pPr>
    <w:rPr>
      <w:rFonts w:ascii="Times New Roman" w:hAnsi="Times New Roman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40" w:line="380" w:lineRule="exact"/>
      <w:outlineLvl w:val="1"/>
    </w:pPr>
    <w:rPr>
      <w:rFonts w:ascii="Times New Roman" w:hAnsi="Times New Roman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540" w:lineRule="exact" w:before="0"/>
      <w:contextualSpacing/>
    </w:pPr>
    <w:rPr>
      <w:rFonts w:ascii="Times New Roman" w:hAnsi="Times New Roman" w:eastAsia="微软雅黑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2106.09685" TargetMode="External"/><Relationship Id="rId11" Type="http://schemas.openxmlformats.org/officeDocument/2006/relationships/hyperlink" Target="https://pubmed.ncbi.nlm.nih.gov/41701592/" TargetMode="External"/><Relationship Id="rId12" Type="http://schemas.openxmlformats.org/officeDocument/2006/relationships/hyperlink" Target="https://github.com/pulselabteam/PulseDB" TargetMode="External"/><Relationship Id="rId13" Type="http://schemas.openxmlformats.org/officeDocument/2006/relationships/hyperlink" Target="https://github.com/jiangyucheng2006-code/calibration-ppg-bp/blob/method/personal-feature-mechanisms/results/official_calbased_v1_20260909/README.md" TargetMode="External"/><Relationship Id="rId14" Type="http://schemas.openxmlformats.org/officeDocument/2006/relationships/hyperlink" Target="https://github.com/jiangyucheng2006-code/calibration-ppg-bp/blob/method/personal-feature-mechanisms/results/post_enrollment_30_v1_20260909/README.md" TargetMode="External"/><Relationship Id="rId15" Type="http://schemas.openxmlformats.org/officeDocument/2006/relationships/hyperlink" Target="https://github.com/jiangyucheng2006-code/calibration-ppg-bp/blob/method/personal-feature-mechanisms/docs/STATU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PPG 血压模型与实验说明</dc:title>
  <dc:subject>模型实现、后注册实验结果与腕部长期采集计划</dc:subject>
  <dc:creator/>
  <cp:keywords>PPG; blood pressure; personal LoRA; reference memory; enrollment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