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6C3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坚持责任上全链条，压实各级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党委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（党组）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全面从严治党</w:t>
      </w: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主体责任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、各级纪委的监督责任，推动各级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党委（党组）书记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扛起</w:t>
      </w: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第一责任人责任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领导班子其他成员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切实担负</w:t>
      </w: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FF"/>
          <w:spacing w:val="0"/>
          <w:sz w:val="32"/>
          <w:szCs w:val="32"/>
          <w:bdr w:val="none" w:color="auto" w:sz="0" w:space="0"/>
          <w:shd w:val="clear" w:fill="FFFFFF"/>
        </w:rPr>
        <w:t>“一岗双责”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，让每名党员、干部行使应有权利、履行应尽责任，做到权责对等、失责必问，压力层层传导，责任环环相扣，切实增强管党治党的责任感使命感，巩固发展全党动手一起抓的良好局面。</w:t>
      </w:r>
    </w:p>
    <w:p w14:paraId="5060DB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FFFFF"/>
        </w:rPr>
        <w:t>——2023年1月9日，习近平在二十届中央纪委二次全会上的讲话</w:t>
      </w:r>
    </w:p>
    <w:p w14:paraId="0169F020">
      <w:pPr>
        <w:rPr>
          <w:rFonts w:hint="default" w:eastAsia="仿宋_GB2312"/>
          <w:lang w:val="en-US" w:eastAsia="zh-CN"/>
        </w:rPr>
      </w:pPr>
      <w:bookmarkStart w:id="0" w:name="_GoBack"/>
      <w:bookmarkEnd w:id="0"/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AndChars" w:linePitch="439" w:charSpace="15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46DD0"/>
    <w:rsid w:val="1819423E"/>
    <w:rsid w:val="1F6A07F1"/>
    <w:rsid w:val="525424EF"/>
    <w:rsid w:val="6E1B514C"/>
    <w:rsid w:val="72E3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2023-08-17T01:30:00Z</dcterms:created>
  <dc:creator>Administrator</dc:creator>
  <cp:lastModifiedBy>李蕊</cp:lastModifiedBy>
  <dcterms:modified xsi:type="dcterms:W3CDTF">2025-02-10T07:26:48Z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D6621FA0BAC54BDFBEAA5A8A2C5B695A_12</vt:lpwstr>
  </property>
  <property fmtid="{D5CDD505-2E9C-101B-9397-08002B2CF9AE}" pid="4" name="KSOTemplateDocerSaveRecord">
    <vt:lpwstr>eyJoZGlkIjoiMzc1ZGQ4NjBjNTQ1ZDcyYjFiMWI4YmYxZjc1NmY3ZmMiLCJ1c2VySWQiOiIzMzY2MTE1NTIifQ==</vt:lpwstr>
  </property>
</Properties>
</file>