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3C7" w:rsidRDefault="005E73C7">
      <w:pPr>
        <w:rPr>
          <w:rFonts w:hint="eastAsia"/>
        </w:rPr>
      </w:pPr>
    </w:p>
    <w:p w:rsidR="00EE7DC8" w:rsidRDefault="00EE7DC8" w:rsidP="00343252">
      <w:pPr>
        <w:pStyle w:val="a5"/>
        <w:numPr>
          <w:ilvl w:val="0"/>
          <w:numId w:val="1"/>
        </w:numPr>
      </w:pPr>
      <w:r>
        <w:t>评估市场吸引力和产品</w:t>
      </w:r>
      <w:r w:rsidR="00343252" w:rsidRPr="00343252">
        <w:rPr>
          <w:rFonts w:hint="eastAsia"/>
        </w:rPr>
        <w:t>竞争能力</w:t>
      </w:r>
      <w:r>
        <w:t xml:space="preserve">所需要的指标。 </w:t>
      </w:r>
    </w:p>
    <w:p w:rsidR="00EE7DC8" w:rsidRDefault="00EE7DC8" w:rsidP="00EE7DC8">
      <w:pPr>
        <w:pStyle w:val="a5"/>
      </w:pPr>
      <w:r>
        <w:t xml:space="preserve">　　评价指标的选取是分析市场吸引力和</w:t>
      </w:r>
      <w:r w:rsidR="006D2915" w:rsidRPr="006D2915">
        <w:rPr>
          <w:rFonts w:hint="eastAsia"/>
        </w:rPr>
        <w:t>产品竞争能力</w:t>
      </w:r>
      <w:r>
        <w:t xml:space="preserve">的关键。 </w:t>
      </w:r>
    </w:p>
    <w:p w:rsidR="00BE0B2E" w:rsidRDefault="00EE7DC8" w:rsidP="00EE7DC8">
      <w:pPr>
        <w:pStyle w:val="a5"/>
        <w:rPr>
          <w:rFonts w:hint="eastAsia"/>
        </w:rPr>
      </w:pPr>
      <w:r>
        <w:t xml:space="preserve">　　确定这些指标可以采取头脑风暴法或名义小组法等。</w:t>
      </w:r>
    </w:p>
    <w:p w:rsidR="00BE0B2E" w:rsidRDefault="00BE0B2E" w:rsidP="0082476D">
      <w:pPr>
        <w:pStyle w:val="a5"/>
        <w:numPr>
          <w:ilvl w:val="0"/>
          <w:numId w:val="1"/>
        </w:numPr>
      </w:pPr>
      <w:r>
        <w:t>确定各评价指标的权重可以采用</w:t>
      </w:r>
      <w:hyperlink r:id="rId7" w:tooltip="专家意见法" w:history="1">
        <w:r>
          <w:rPr>
            <w:rStyle w:val="a6"/>
          </w:rPr>
          <w:t>专家意见法</w:t>
        </w:r>
      </w:hyperlink>
      <w:r>
        <w:t>、</w:t>
      </w:r>
      <w:hyperlink r:id="rId8" w:tooltip="德尔菲法" w:history="1">
        <w:r>
          <w:rPr>
            <w:rStyle w:val="a6"/>
          </w:rPr>
          <w:t>德尔菲法</w:t>
        </w:r>
      </w:hyperlink>
      <w:r>
        <w:t xml:space="preserve">等方法,来确定各评价指标的权重。 </w:t>
      </w:r>
    </w:p>
    <w:p w:rsidR="00BE0B2E" w:rsidRDefault="00BE0B2E" w:rsidP="00BE0B2E">
      <w:pPr>
        <w:pStyle w:val="a5"/>
      </w:pPr>
      <w:r>
        <w:t xml:space="preserve">　　对影响市场吸引力和产品竞争能力的因素分别赋予权重:</w:t>
      </w:r>
      <w:r>
        <w:rPr>
          <w:rStyle w:val="texhtml"/>
          <w:i/>
          <w:iCs/>
        </w:rPr>
        <w:t>a</w:t>
      </w:r>
      <w:r>
        <w:rPr>
          <w:rStyle w:val="texhtml"/>
          <w:vertAlign w:val="subscript"/>
        </w:rPr>
        <w:t>1</w:t>
      </w:r>
      <w:r>
        <w:t>,</w:t>
      </w:r>
      <w:r>
        <w:rPr>
          <w:rStyle w:val="texhtml"/>
          <w:i/>
          <w:iCs/>
        </w:rPr>
        <w:t>a</w:t>
      </w:r>
      <w:r>
        <w:rPr>
          <w:rStyle w:val="texhtml"/>
          <w:vertAlign w:val="subscript"/>
        </w:rPr>
        <w:t>2</w:t>
      </w:r>
      <w:r>
        <w:t>,…，</w:t>
      </w:r>
      <w:r>
        <w:rPr>
          <w:rStyle w:val="texhtml"/>
          <w:i/>
          <w:iCs/>
        </w:rPr>
        <w:t>a</w:t>
      </w:r>
      <w:r>
        <w:rPr>
          <w:rStyle w:val="texhtml"/>
          <w:vertAlign w:val="subscript"/>
        </w:rPr>
        <w:t>12</w:t>
      </w:r>
      <w:r>
        <w:t>；</w:t>
      </w:r>
      <w:r>
        <w:rPr>
          <w:rStyle w:val="texhtml"/>
          <w:i/>
          <w:iCs/>
        </w:rPr>
        <w:t>b</w:t>
      </w:r>
      <w:r>
        <w:rPr>
          <w:rStyle w:val="texhtml"/>
          <w:vertAlign w:val="subscript"/>
        </w:rPr>
        <w:t>1</w:t>
      </w:r>
      <w:r>
        <w:t>,</w:t>
      </w:r>
      <w:r>
        <w:rPr>
          <w:rStyle w:val="texhtml"/>
          <w:i/>
          <w:iCs/>
        </w:rPr>
        <w:t>b</w:t>
      </w:r>
      <w:r>
        <w:rPr>
          <w:rStyle w:val="texhtml"/>
          <w:vertAlign w:val="subscript"/>
        </w:rPr>
        <w:t>2</w:t>
      </w:r>
      <w:r>
        <w:t>,…,</w:t>
      </w:r>
      <w:r>
        <w:rPr>
          <w:rStyle w:val="texhtml"/>
          <w:i/>
          <w:iCs/>
        </w:rPr>
        <w:t>b</w:t>
      </w:r>
      <w:r>
        <w:rPr>
          <w:rStyle w:val="texhtml"/>
          <w:vertAlign w:val="subscript"/>
        </w:rPr>
        <w:t>10</w:t>
      </w:r>
      <w:r>
        <w:t xml:space="preserve">,使得, </w:t>
      </w:r>
    </w:p>
    <w:p w:rsidR="00BE0B2E" w:rsidRDefault="00BE0B2E" w:rsidP="00BE0B2E">
      <w:pPr>
        <w:pStyle w:val="a5"/>
      </w:pPr>
      <w: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sum_{i=1}^{12}a_i=1" style="width:57.7pt;height:39.25pt">
            <v:imagedata r:id="rId9" r:href="rId10"/>
          </v:shape>
        </w:pict>
      </w:r>
      <w:r>
        <w:t>,</w:t>
      </w:r>
      <w:r>
        <w:pict>
          <v:shape id="_x0000_i1028" type="#_x0000_t75" alt="\sum_{j=1}^{10}b_j=1" style="width:58.9pt;height:40.45pt">
            <v:imagedata r:id="rId11" r:href="rId12"/>
          </v:shape>
        </w:pict>
      </w:r>
      <w:r>
        <w:t xml:space="preserve">。 </w:t>
      </w:r>
    </w:p>
    <w:p w:rsidR="00B8457B" w:rsidRDefault="00EE7DC8" w:rsidP="00BA3AA3">
      <w:pPr>
        <w:pStyle w:val="a5"/>
        <w:numPr>
          <w:ilvl w:val="0"/>
          <w:numId w:val="1"/>
        </w:numPr>
      </w:pPr>
      <w:r>
        <w:t xml:space="preserve"> </w:t>
      </w:r>
      <w:r w:rsidR="00B8457B">
        <w:t>对各因素进行打分,确定市场吸引力和</w:t>
      </w:r>
      <w:r w:rsidR="00AD4016" w:rsidRPr="00AD4016">
        <w:rPr>
          <w:rFonts w:hint="eastAsia"/>
        </w:rPr>
        <w:t>企业产品</w:t>
      </w:r>
      <w:r w:rsidR="00B8457B">
        <w:t xml:space="preserve">竞争能力的得分可以采用李克特量表,对每一等级赋予一定的分值。 </w:t>
      </w:r>
    </w:p>
    <w:p w:rsidR="00B8457B" w:rsidRDefault="00B8457B" w:rsidP="00B8457B">
      <w:pPr>
        <w:pStyle w:val="a5"/>
      </w:pPr>
      <w:r>
        <w:t xml:space="preserve">　　假设市场吸引力各评价指标的得分分别为</w:t>
      </w:r>
      <w:r>
        <w:rPr>
          <w:rStyle w:val="texhtml"/>
          <w:i/>
          <w:iCs/>
        </w:rPr>
        <w:t>x</w:t>
      </w:r>
      <w:r>
        <w:rPr>
          <w:rStyle w:val="texhtml"/>
          <w:i/>
          <w:iCs/>
          <w:vertAlign w:val="subscript"/>
        </w:rPr>
        <w:t>i</w:t>
      </w:r>
      <w:r>
        <w:t>,企业产品竞争能力各评价指标的得分分别为</w:t>
      </w:r>
      <w:r>
        <w:rPr>
          <w:rStyle w:val="texhtml"/>
          <w:i/>
          <w:iCs/>
        </w:rPr>
        <w:t>y</w:t>
      </w:r>
      <w:r>
        <w:rPr>
          <w:rStyle w:val="texhtml"/>
          <w:i/>
          <w:iCs/>
          <w:vertAlign w:val="subscript"/>
        </w:rPr>
        <w:t>j</w:t>
      </w:r>
      <w:r>
        <w:t>,则市场吸引力得分</w:t>
      </w:r>
      <w:r>
        <w:pict>
          <v:shape id="_x0000_i1029" type="#_x0000_t75" alt="X=\sum_{i=1}^{12}a_ix_i" style="width:77.35pt;height:39.25pt">
            <v:imagedata r:id="rId13" r:href="rId14"/>
          </v:shape>
        </w:pict>
      </w:r>
      <w:r>
        <w:t>,企业产品竞争能力得分</w:t>
      </w:r>
      <w:r>
        <w:pict>
          <v:shape id="_x0000_i1030" type="#_x0000_t75" alt="Y=\sum_{j=1}^{10}b_jy_j" style="width:76.75pt;height:40.45pt">
            <v:imagedata r:id="rId15" r:href="rId16"/>
          </v:shape>
        </w:pict>
      </w:r>
      <w:r>
        <w:t xml:space="preserve">。 </w:t>
      </w:r>
    </w:p>
    <w:p w:rsidR="00EE7DC8" w:rsidRDefault="005C3B11" w:rsidP="008D2D58">
      <w:pPr>
        <w:pStyle w:val="a5"/>
        <w:numPr>
          <w:ilvl w:val="0"/>
          <w:numId w:val="1"/>
        </w:numPr>
        <w:rPr>
          <w:rFonts w:hint="eastAsia"/>
        </w:rPr>
      </w:pPr>
      <w:r>
        <w:t>根据分值确定该产品在矩阵上的位置在坐标图上以纵轴表示市场吸引力,横轴表示竞争能力,按照高、中、低标准,将坐标图分成九个象限如图,将产品类别按标准分别填入相应的象限内。</w:t>
      </w:r>
    </w:p>
    <w:p w:rsidR="00CA4B67" w:rsidRPr="00B8457B" w:rsidRDefault="00CA4B67" w:rsidP="00CA4B67">
      <w:pPr>
        <w:pStyle w:val="a5"/>
        <w:ind w:left="420"/>
      </w:pPr>
      <w:r>
        <w:rPr>
          <w:rFonts w:hint="eastAsia"/>
        </w:rPr>
        <w:pict>
          <v:shape id="_x0000_i1031" type="#_x0000_t75" style="width:217.8pt;height:153.5pt">
            <v:imagedata r:id="rId17" o:title="GE矩阵"/>
          </v:shape>
        </w:pict>
      </w:r>
    </w:p>
    <w:p w:rsidR="00142109" w:rsidRDefault="00142109" w:rsidP="006D5708">
      <w:pPr>
        <w:pStyle w:val="a5"/>
        <w:numPr>
          <w:ilvl w:val="0"/>
          <w:numId w:val="1"/>
        </w:numPr>
        <w:rPr>
          <w:rFonts w:hint="eastAsia"/>
        </w:rPr>
      </w:pPr>
      <w:r>
        <w:rPr>
          <w:rFonts w:hint="eastAsia"/>
        </w:rPr>
        <w:t>企业的战略选择。</w:t>
      </w:r>
    </w:p>
    <w:p w:rsidR="00142109" w:rsidRDefault="00142109" w:rsidP="00142109"/>
    <w:p w:rsidR="006D5708" w:rsidRDefault="00142109" w:rsidP="00142109">
      <w:r>
        <w:rPr>
          <w:rFonts w:hint="eastAsia"/>
        </w:rPr>
        <w:lastRenderedPageBreak/>
        <w:t xml:space="preserve">　　对于处在九个象限内的不同产品</w:t>
      </w:r>
      <w:r>
        <w:rPr>
          <w:rFonts w:hint="eastAsia"/>
        </w:rPr>
        <w:t>,</w:t>
      </w:r>
      <w:r>
        <w:rPr>
          <w:rFonts w:hint="eastAsia"/>
        </w:rPr>
        <w:t>企业应采用不同的经营战略企业应将发展重点集在第一、二、四象限区域内</w:t>
      </w:r>
      <w:r>
        <w:rPr>
          <w:rFonts w:hint="eastAsia"/>
        </w:rPr>
        <w:t>,</w:t>
      </w:r>
      <w:r>
        <w:rPr>
          <w:rFonts w:hint="eastAsia"/>
        </w:rPr>
        <w:t>采取积极发展战略重点投资、重点经营对于市场吸引力和产品竞争实力相对一般的第三、五、七象限区域</w:t>
      </w:r>
      <w:r>
        <w:rPr>
          <w:rFonts w:hint="eastAsia"/>
        </w:rPr>
        <w:t>,</w:t>
      </w:r>
      <w:r>
        <w:rPr>
          <w:rFonts w:hint="eastAsia"/>
        </w:rPr>
        <w:t>企业应设法提高产品的竞争实力而对于市场吸力和产品竞争实力都较弱的第六、八、九象限域</w:t>
      </w:r>
      <w:r>
        <w:rPr>
          <w:rFonts w:hint="eastAsia"/>
        </w:rPr>
        <w:t>,</w:t>
      </w:r>
      <w:r>
        <w:rPr>
          <w:rFonts w:hint="eastAsia"/>
        </w:rPr>
        <w:t>企业应采取维持或收缩退出战略。</w:t>
      </w:r>
    </w:p>
    <w:p w:rsidR="005E73C7" w:rsidRPr="00CA4B67" w:rsidRDefault="006D5708" w:rsidP="00142109">
      <w:pPr>
        <w:rPr>
          <w:rFonts w:hint="eastAsia"/>
        </w:rPr>
      </w:pPr>
      <w:r>
        <w:br w:type="page"/>
      </w:r>
    </w:p>
    <w:p w:rsidR="005E73C7" w:rsidRDefault="005E73C7">
      <w:pPr>
        <w:rPr>
          <w:rFonts w:hint="eastAsia"/>
        </w:rPr>
      </w:pPr>
    </w:p>
    <w:p w:rsidR="005E73C7" w:rsidRDefault="005E73C7">
      <w:pPr>
        <w:rPr>
          <w:rFonts w:hint="eastAsia"/>
        </w:rPr>
      </w:pPr>
    </w:p>
    <w:p w:rsidR="005E73C7" w:rsidRDefault="005E73C7">
      <w:pPr>
        <w:rPr>
          <w:rFonts w:hint="eastAsia"/>
        </w:rPr>
      </w:pPr>
    </w:p>
    <w:p w:rsidR="005E73C7" w:rsidRDefault="005E73C7">
      <w:pPr>
        <w:rPr>
          <w:rFonts w:hint="eastAsia"/>
        </w:rPr>
      </w:pPr>
    </w:p>
    <w:p w:rsidR="00000000" w:rsidRDefault="007A11CA">
      <w:pPr>
        <w:rPr>
          <w:rFonts w:hint="eastAsia"/>
        </w:rPr>
      </w:pPr>
      <w:r>
        <w:pict>
          <v:shape id="_x0000_i1025" type="#_x0000_t75" style="width:423.65pt;height:254.1pt">
            <v:imagedata r:id="rId18" o:title="GE矩阵2"/>
          </v:shape>
        </w:pict>
      </w:r>
    </w:p>
    <w:p w:rsidR="002E4D2D" w:rsidRDefault="004250BF">
      <w:pPr>
        <w:rPr>
          <w:rFonts w:hint="eastAsia"/>
        </w:rPr>
      </w:pPr>
      <w:r>
        <w:rPr>
          <w:rFonts w:hint="eastAsia"/>
        </w:rPr>
        <w:t>诠释</w:t>
      </w:r>
      <w:r>
        <w:rPr>
          <w:rFonts w:hint="eastAsia"/>
        </w:rPr>
        <w:t>:</w:t>
      </w:r>
    </w:p>
    <w:p w:rsidR="002E4D2D" w:rsidRPr="002E4D2D" w:rsidRDefault="002E4D2D" w:rsidP="002E4D2D">
      <w:pPr>
        <w:widowControl/>
        <w:spacing w:before="100" w:beforeAutospacing="1" w:after="100" w:afterAutospacing="1"/>
        <w:jc w:val="left"/>
        <w:rPr>
          <w:rFonts w:ascii="宋体" w:hAnsi="宋体" w:cs="宋体"/>
          <w:kern w:val="0"/>
          <w:sz w:val="24"/>
          <w:szCs w:val="24"/>
        </w:rPr>
      </w:pPr>
      <w:r w:rsidRPr="002E4D2D">
        <w:rPr>
          <w:rFonts w:ascii="宋体" w:hAnsi="宋体" w:cs="宋体"/>
          <w:kern w:val="0"/>
          <w:sz w:val="24"/>
          <w:szCs w:val="24"/>
        </w:rPr>
        <w:t xml:space="preserve">文章归结为简单的一句很经典的话“高位优先发展，中位谨慎发展，低位捞它一把”。如果用上图进行分析： </w:t>
      </w:r>
    </w:p>
    <w:p w:rsidR="002E4D2D" w:rsidRPr="002E4D2D" w:rsidRDefault="002E4D2D" w:rsidP="002E4D2D">
      <w:pPr>
        <w:widowControl/>
        <w:ind w:left="720"/>
        <w:jc w:val="left"/>
        <w:rPr>
          <w:rFonts w:ascii="宋体" w:hAnsi="宋体" w:cs="宋体"/>
          <w:kern w:val="0"/>
          <w:sz w:val="24"/>
          <w:szCs w:val="24"/>
        </w:rPr>
      </w:pPr>
      <w:r w:rsidRPr="002E4D2D">
        <w:rPr>
          <w:rFonts w:ascii="宋体" w:hAnsi="宋体" w:cs="宋体"/>
          <w:kern w:val="0"/>
          <w:sz w:val="24"/>
          <w:szCs w:val="24"/>
        </w:rPr>
        <w:t>绿色区域：采取增长与</w:t>
      </w:r>
      <w:hyperlink r:id="rId19" w:tooltip="发展战略" w:history="1">
        <w:r w:rsidRPr="002E4D2D">
          <w:rPr>
            <w:rFonts w:ascii="宋体" w:hAnsi="宋体" w:cs="宋体"/>
            <w:color w:val="0000FF"/>
            <w:kern w:val="0"/>
            <w:sz w:val="24"/>
            <w:szCs w:val="24"/>
            <w:u w:val="single"/>
          </w:rPr>
          <w:t>发展战略</w:t>
        </w:r>
      </w:hyperlink>
      <w:r w:rsidRPr="002E4D2D">
        <w:rPr>
          <w:rFonts w:ascii="宋体" w:hAnsi="宋体" w:cs="宋体"/>
          <w:kern w:val="0"/>
          <w:sz w:val="24"/>
          <w:szCs w:val="24"/>
        </w:rPr>
        <w:t>，应优先分配</w:t>
      </w:r>
      <w:hyperlink r:id="rId20" w:tooltip="资源" w:history="1">
        <w:r w:rsidRPr="002E4D2D">
          <w:rPr>
            <w:rFonts w:ascii="宋体" w:hAnsi="宋体" w:cs="宋体"/>
            <w:color w:val="0000FF"/>
            <w:kern w:val="0"/>
            <w:sz w:val="24"/>
            <w:szCs w:val="24"/>
            <w:u w:val="single"/>
          </w:rPr>
          <w:t>资源</w:t>
        </w:r>
      </w:hyperlink>
      <w:r w:rsidRPr="002E4D2D">
        <w:rPr>
          <w:rFonts w:ascii="宋体" w:hAnsi="宋体" w:cs="宋体"/>
          <w:kern w:val="0"/>
          <w:sz w:val="24"/>
          <w:szCs w:val="24"/>
        </w:rPr>
        <w:t xml:space="preserve"> </w:t>
      </w:r>
    </w:p>
    <w:p w:rsidR="002E4D2D" w:rsidRPr="002E4D2D" w:rsidRDefault="002E4D2D" w:rsidP="002E4D2D">
      <w:pPr>
        <w:widowControl/>
        <w:ind w:left="720"/>
        <w:jc w:val="left"/>
        <w:rPr>
          <w:rFonts w:ascii="宋体" w:hAnsi="宋体" w:cs="宋体"/>
          <w:kern w:val="0"/>
          <w:sz w:val="24"/>
          <w:szCs w:val="24"/>
        </w:rPr>
      </w:pPr>
      <w:r w:rsidRPr="002E4D2D">
        <w:rPr>
          <w:rFonts w:ascii="宋体" w:hAnsi="宋体" w:cs="宋体"/>
          <w:kern w:val="0"/>
          <w:sz w:val="24"/>
          <w:szCs w:val="24"/>
        </w:rPr>
        <w:t>黄色区域：采取维持或有选择</w:t>
      </w:r>
      <w:hyperlink r:id="rId21" w:tooltip="发展战略" w:history="1">
        <w:r w:rsidRPr="002E4D2D">
          <w:rPr>
            <w:rFonts w:ascii="宋体" w:hAnsi="宋体" w:cs="宋体"/>
            <w:color w:val="0000FF"/>
            <w:kern w:val="0"/>
            <w:sz w:val="24"/>
            <w:szCs w:val="24"/>
            <w:u w:val="single"/>
          </w:rPr>
          <w:t>发展战略</w:t>
        </w:r>
      </w:hyperlink>
      <w:r w:rsidRPr="002E4D2D">
        <w:rPr>
          <w:rFonts w:ascii="宋体" w:hAnsi="宋体" w:cs="宋体"/>
          <w:kern w:val="0"/>
          <w:sz w:val="24"/>
          <w:szCs w:val="24"/>
        </w:rPr>
        <w:t xml:space="preserve">，保护规模，调整发展方向 </w:t>
      </w:r>
    </w:p>
    <w:p w:rsidR="007A11CA" w:rsidRDefault="002E4D2D" w:rsidP="002E4D2D">
      <w:pPr>
        <w:widowControl/>
        <w:ind w:left="720"/>
        <w:jc w:val="left"/>
        <w:rPr>
          <w:rFonts w:ascii="宋体" w:hAnsi="宋体" w:cs="宋体" w:hint="eastAsia"/>
          <w:kern w:val="0"/>
          <w:sz w:val="24"/>
          <w:szCs w:val="24"/>
        </w:rPr>
      </w:pPr>
      <w:r w:rsidRPr="002E4D2D">
        <w:rPr>
          <w:rFonts w:ascii="宋体" w:hAnsi="宋体" w:cs="宋体"/>
          <w:kern w:val="0"/>
          <w:sz w:val="24"/>
          <w:szCs w:val="24"/>
        </w:rPr>
        <w:t>红色区域：采取停止、转移、</w:t>
      </w:r>
      <w:hyperlink r:id="rId22" w:tooltip="撤退战略" w:history="1">
        <w:r w:rsidRPr="002E4D2D">
          <w:rPr>
            <w:rFonts w:ascii="宋体" w:hAnsi="宋体" w:cs="宋体"/>
            <w:color w:val="0000FF"/>
            <w:kern w:val="0"/>
            <w:sz w:val="24"/>
            <w:szCs w:val="24"/>
            <w:u w:val="single"/>
          </w:rPr>
          <w:t>撤退战略</w:t>
        </w:r>
      </w:hyperlink>
      <w:r w:rsidRPr="002E4D2D">
        <w:rPr>
          <w:rFonts w:ascii="宋体" w:hAnsi="宋体" w:cs="宋体"/>
          <w:kern w:val="0"/>
          <w:sz w:val="24"/>
          <w:szCs w:val="24"/>
        </w:rPr>
        <w:t xml:space="preserve"> </w:t>
      </w:r>
    </w:p>
    <w:p w:rsidR="007A11CA" w:rsidRPr="002E4D2D" w:rsidRDefault="007A11CA" w:rsidP="002E4D2D">
      <w:pPr>
        <w:widowControl/>
        <w:ind w:left="720"/>
        <w:jc w:val="left"/>
        <w:rPr>
          <w:rFonts w:ascii="宋体" w:hAnsi="宋体" w:cs="宋体"/>
          <w:kern w:val="0"/>
          <w:sz w:val="24"/>
          <w:szCs w:val="24"/>
        </w:rPr>
      </w:pPr>
    </w:p>
    <w:p w:rsidR="002E4D2D" w:rsidRDefault="007A11CA">
      <w:pPr>
        <w:rPr>
          <w:rFonts w:hint="eastAsia"/>
        </w:rPr>
      </w:pPr>
      <w:r>
        <w:t>一般比较具体的战略图如下</w:t>
      </w:r>
    </w:p>
    <w:p w:rsidR="007A11CA" w:rsidRPr="002E4D2D" w:rsidRDefault="007A11CA">
      <w:r>
        <w:rPr>
          <w:rFonts w:hint="eastAsia"/>
        </w:rPr>
        <w:pict>
          <v:shape id="_x0000_i1026" type="#_x0000_t75" style="width:321.9pt;height:196.35pt">
            <v:imagedata r:id="rId23" o:title="GE矩阵3"/>
          </v:shape>
        </w:pict>
      </w:r>
    </w:p>
    <w:sectPr w:rsidR="007A11CA" w:rsidRPr="002E4D2D" w:rsidSect="00512C24">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7BFD" w:rsidRDefault="00F07BFD" w:rsidP="00E205D5">
      <w:r>
        <w:separator/>
      </w:r>
    </w:p>
  </w:endnote>
  <w:endnote w:type="continuationSeparator" w:id="1">
    <w:p w:rsidR="00F07BFD" w:rsidRDefault="00F07BFD" w:rsidP="00E205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7BFD" w:rsidRDefault="00F07BFD" w:rsidP="00E205D5">
      <w:r>
        <w:separator/>
      </w:r>
    </w:p>
  </w:footnote>
  <w:footnote w:type="continuationSeparator" w:id="1">
    <w:p w:rsidR="00F07BFD" w:rsidRDefault="00F07BFD" w:rsidP="00E205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D2031"/>
    <w:multiLevelType w:val="hybridMultilevel"/>
    <w:tmpl w:val="5E74ED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12C24"/>
    <w:rsid w:val="00142109"/>
    <w:rsid w:val="0019320B"/>
    <w:rsid w:val="002E4D2D"/>
    <w:rsid w:val="00343252"/>
    <w:rsid w:val="004250BF"/>
    <w:rsid w:val="00512C24"/>
    <w:rsid w:val="005C3B11"/>
    <w:rsid w:val="005E73C7"/>
    <w:rsid w:val="006D2915"/>
    <w:rsid w:val="006D5708"/>
    <w:rsid w:val="007A11CA"/>
    <w:rsid w:val="0082476D"/>
    <w:rsid w:val="008D2D58"/>
    <w:rsid w:val="00AD4016"/>
    <w:rsid w:val="00B8457B"/>
    <w:rsid w:val="00BA3AA3"/>
    <w:rsid w:val="00BE0B2E"/>
    <w:rsid w:val="00CA4B67"/>
    <w:rsid w:val="00CB0147"/>
    <w:rsid w:val="00E205D5"/>
    <w:rsid w:val="00EE7DC8"/>
    <w:rsid w:val="00F07BF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205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205D5"/>
    <w:rPr>
      <w:sz w:val="18"/>
      <w:szCs w:val="18"/>
    </w:rPr>
  </w:style>
  <w:style w:type="paragraph" w:styleId="a4">
    <w:name w:val="footer"/>
    <w:basedOn w:val="a"/>
    <w:link w:val="Char0"/>
    <w:uiPriority w:val="99"/>
    <w:semiHidden/>
    <w:unhideWhenUsed/>
    <w:rsid w:val="00E205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205D5"/>
    <w:rPr>
      <w:sz w:val="18"/>
      <w:szCs w:val="18"/>
    </w:rPr>
  </w:style>
  <w:style w:type="paragraph" w:styleId="a5">
    <w:name w:val="Normal (Web)"/>
    <w:basedOn w:val="a"/>
    <w:uiPriority w:val="99"/>
    <w:semiHidden/>
    <w:unhideWhenUsed/>
    <w:rsid w:val="002E4D2D"/>
    <w:pPr>
      <w:widowControl/>
      <w:spacing w:before="100" w:beforeAutospacing="1" w:after="100" w:afterAutospacing="1"/>
      <w:jc w:val="left"/>
    </w:pPr>
    <w:rPr>
      <w:rFonts w:ascii="宋体" w:hAnsi="宋体" w:cs="宋体"/>
      <w:kern w:val="0"/>
      <w:sz w:val="24"/>
      <w:szCs w:val="24"/>
    </w:rPr>
  </w:style>
  <w:style w:type="character" w:styleId="a6">
    <w:name w:val="Hyperlink"/>
    <w:basedOn w:val="a0"/>
    <w:uiPriority w:val="99"/>
    <w:semiHidden/>
    <w:unhideWhenUsed/>
    <w:rsid w:val="002E4D2D"/>
    <w:rPr>
      <w:color w:val="0000FF"/>
      <w:u w:val="single"/>
    </w:rPr>
  </w:style>
  <w:style w:type="character" w:customStyle="1" w:styleId="texhtml">
    <w:name w:val="texhtml"/>
    <w:basedOn w:val="a0"/>
    <w:rsid w:val="00BE0B2E"/>
  </w:style>
</w:styles>
</file>

<file path=word/webSettings.xml><?xml version="1.0" encoding="utf-8"?>
<w:webSettings xmlns:r="http://schemas.openxmlformats.org/officeDocument/2006/relationships" xmlns:w="http://schemas.openxmlformats.org/wordprocessingml/2006/main">
  <w:divs>
    <w:div w:id="375007050">
      <w:bodyDiv w:val="1"/>
      <w:marLeft w:val="0"/>
      <w:marRight w:val="0"/>
      <w:marTop w:val="0"/>
      <w:marBottom w:val="0"/>
      <w:divBdr>
        <w:top w:val="none" w:sz="0" w:space="0" w:color="auto"/>
        <w:left w:val="none" w:sz="0" w:space="0" w:color="auto"/>
        <w:bottom w:val="none" w:sz="0" w:space="0" w:color="auto"/>
        <w:right w:val="none" w:sz="0" w:space="0" w:color="auto"/>
      </w:divBdr>
    </w:div>
    <w:div w:id="1134525206">
      <w:bodyDiv w:val="1"/>
      <w:marLeft w:val="0"/>
      <w:marRight w:val="0"/>
      <w:marTop w:val="0"/>
      <w:marBottom w:val="0"/>
      <w:divBdr>
        <w:top w:val="none" w:sz="0" w:space="0" w:color="auto"/>
        <w:left w:val="none" w:sz="0" w:space="0" w:color="auto"/>
        <w:bottom w:val="none" w:sz="0" w:space="0" w:color="auto"/>
        <w:right w:val="none" w:sz="0" w:space="0" w:color="auto"/>
      </w:divBdr>
    </w:div>
    <w:div w:id="1199510220">
      <w:bodyDiv w:val="1"/>
      <w:marLeft w:val="0"/>
      <w:marRight w:val="0"/>
      <w:marTop w:val="0"/>
      <w:marBottom w:val="0"/>
      <w:divBdr>
        <w:top w:val="none" w:sz="0" w:space="0" w:color="auto"/>
        <w:left w:val="none" w:sz="0" w:space="0" w:color="auto"/>
        <w:bottom w:val="none" w:sz="0" w:space="0" w:color="auto"/>
        <w:right w:val="none" w:sz="0" w:space="0" w:color="auto"/>
      </w:divBdr>
    </w:div>
    <w:div w:id="1825468834">
      <w:bodyDiv w:val="1"/>
      <w:marLeft w:val="0"/>
      <w:marRight w:val="0"/>
      <w:marTop w:val="0"/>
      <w:marBottom w:val="0"/>
      <w:divBdr>
        <w:top w:val="none" w:sz="0" w:space="0" w:color="auto"/>
        <w:left w:val="none" w:sz="0" w:space="0" w:color="auto"/>
        <w:bottom w:val="none" w:sz="0" w:space="0" w:color="auto"/>
        <w:right w:val="none" w:sz="0" w:space="0" w:color="auto"/>
      </w:divBdr>
    </w:div>
    <w:div w:id="182638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ki.mbalib.com/wiki/%E5%BE%B7%E5%B0%94%E8%8F%B2%E6%B3%95" TargetMode="External"/><Relationship Id="rId13" Type="http://schemas.openxmlformats.org/officeDocument/2006/relationships/image" Target="media/image3.png"/><Relationship Id="rId18" Type="http://schemas.openxmlformats.org/officeDocument/2006/relationships/image" Target="media/image6.gif"/><Relationship Id="rId3" Type="http://schemas.openxmlformats.org/officeDocument/2006/relationships/settings" Target="settings.xml"/><Relationship Id="rId21" Type="http://schemas.openxmlformats.org/officeDocument/2006/relationships/hyperlink" Target="http://wiki.mbalib.com/wiki/%E5%8F%91%E5%B1%95%E6%88%98%E7%95%A5" TargetMode="External"/><Relationship Id="rId7" Type="http://schemas.openxmlformats.org/officeDocument/2006/relationships/hyperlink" Target="http://wiki.mbalib.com/wiki/%E4%B8%93%E5%AE%B6%E6%84%8F%E8%A7%81%E6%B3%95" TargetMode="External"/><Relationship Id="rId12" Type="http://schemas.openxmlformats.org/officeDocument/2006/relationships/image" Target="http://wiki.mbalib.com/w/images/math/a/6/0/a6052a55d88a588448a325c802717c5c.png"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http://wiki.mbalib.com/w/images/math/7/8/c/78ca0ad7b3adf75531eb10d3efae5241.png" TargetMode="External"/><Relationship Id="rId20" Type="http://schemas.openxmlformats.org/officeDocument/2006/relationships/hyperlink" Target="http://wiki.mbalib.com/wiki/%E8%B5%84%E6%BA%9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7.gif"/><Relationship Id="rId10" Type="http://schemas.openxmlformats.org/officeDocument/2006/relationships/image" Target="http://wiki.mbalib.com/w/images/math/f/4/2/f4205643dc2aeb57a669973408da3c2e.png" TargetMode="External"/><Relationship Id="rId19" Type="http://schemas.openxmlformats.org/officeDocument/2006/relationships/hyperlink" Target="http://wiki.mbalib.com/wiki/%E5%8F%91%E5%B1%95%E6%88%98%E7%95%A5"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http://wiki.mbalib.com/w/images/math/1/2/b/12b7ef1996cae3f3f0a84cfd5261396f.png" TargetMode="External"/><Relationship Id="rId22" Type="http://schemas.openxmlformats.org/officeDocument/2006/relationships/hyperlink" Target="http://wiki.mbalib.com/wiki/%E6%92%A4%E9%80%80%E6%88%98%E7%95%A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dell</cp:lastModifiedBy>
  <cp:revision>21</cp:revision>
  <dcterms:created xsi:type="dcterms:W3CDTF">2016-01-06T10:50:00Z</dcterms:created>
  <dcterms:modified xsi:type="dcterms:W3CDTF">2016-01-06T11:27:00Z</dcterms:modified>
</cp:coreProperties>
</file>