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798B4">
      <w:pPr>
        <w:tabs>
          <w:tab w:val="left" w:pos="7597"/>
        </w:tabs>
        <w:spacing w:after="200"/>
        <w:rPr>
          <w:rFonts w:hint="eastAsia" w:ascii="PingFang SC Regular" w:hAnsi="PingFang SC Regular" w:eastAsia="PingFang SC Regular" w:cs="PingFang SC Regular"/>
        </w:rPr>
      </w:pPr>
      <w:bookmarkStart w:id="0" w:name="_GoBack"/>
      <w:r>
        <w:rPr>
          <w:rFonts w:hint="eastAsia" w:ascii="PingFang SC Regular" w:hAnsi="PingFang SC Regular" w:eastAsia="PingFang SC Regular" w:cs="PingFang SC Regular"/>
          <w:b/>
          <w:color w:val="000000"/>
          <w:sz w:val="25"/>
        </w:rPr>
        <w:t>Mini_Drop 报告——AI功能探索</w:t>
      </w:r>
      <w:r>
        <w:rPr>
          <w:rFonts w:hint="eastAsia" w:ascii="PingFang SC Regular" w:hAnsi="PingFang SC Regular" w:eastAsia="PingFang SC Regular" w:cs="PingFang SC Regular"/>
          <w:b/>
          <w:color w:val="000000"/>
          <w:sz w:val="25"/>
        </w:rPr>
        <w:tab/>
      </w:r>
      <w:r>
        <w:rPr>
          <w:rFonts w:hint="eastAsia" w:ascii="PingFang SC Regular" w:hAnsi="PingFang SC Regular" w:eastAsia="PingFang SC Regular" w:cs="PingFang SC Regular"/>
          <w:b/>
          <w:color w:val="000000"/>
          <w:sz w:val="25"/>
        </w:rPr>
        <w:t>江育林</w:t>
      </w:r>
    </w:p>
    <w:p w14:paraId="18DD8840">
      <w:pPr>
        <w:keepNext w:val="0"/>
        <w:spacing w:before="0" w:after="140" w:line="288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0000"/>
          <w:sz w:val="19"/>
        </w:rPr>
        <w:t>完成的工作：</w:t>
      </w: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完成 Mini-Drop 当前架构与 AI 能力审计；形成 Evidence-native AI Deep Collector 规划基线；完成第一批仓库清理与回归验证；修正真实故障评测中的答案泄漏和证据引用判定。</w:t>
      </w:r>
    </w:p>
    <w:p w14:paraId="71E646F7">
      <w:pPr>
        <w:keepNext w:val="0"/>
        <w:spacing w:before="0" w:after="140" w:line="288" w:lineRule="auto"/>
        <w:rPr>
          <w:rFonts w:hint="eastAsia" w:ascii="PingFang SC Regular" w:hAnsi="PingFang SC Regular" w:eastAsia="PingFang SC Regular" w:cs="PingFang SC Regular"/>
          <w:lang w:eastAsia="zh-CN"/>
        </w:rPr>
      </w:pPr>
      <w:r>
        <w:rPr>
          <w:rFonts w:hint="eastAsia" w:ascii="PingFang SC Regular" w:hAnsi="PingFang SC Regular" w:eastAsia="PingFang SC Regular" w:cs="PingFang SC Regular"/>
          <w:b/>
          <w:color w:val="000000"/>
          <w:sz w:val="19"/>
        </w:rPr>
        <w:t>对比基线：</w:t>
      </w: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本地缓存的 GitHub origin/main@c8df298（2026-08-19 20:05）。当前 HEAD 仍等于该提交，因此下面内容均是尚未提交的工作树变化</w:t>
      </w: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  <w:lang w:eastAsia="zh-CN"/>
        </w:rPr>
        <w:t>。</w:t>
      </w:r>
    </w:p>
    <w:p w14:paraId="6EDC2137">
      <w:pPr>
        <w:keepNext w:val="0"/>
        <w:spacing w:before="0" w:after="160" w:line="288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0000"/>
          <w:sz w:val="19"/>
        </w:rPr>
        <w:t>现象：</w:t>
      </w: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昨天的 GitHub 版本以 Pi 诊断、策略矩阵和旧 RCA/Recovery 合同为主；当前工作树已把产品收敛为“AI 选择深度采集器 → canonical Evidence → 可引用分析 → 人工治理”，并清退大量历史快照，但生产代码尚未完成 P1-P4 迁移。</w:t>
      </w:r>
    </w:p>
    <w:p w14:paraId="6CB90AA0">
      <w:pPr>
        <w:keepNext/>
        <w:spacing w:before="40" w:after="100" w:line="288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0000"/>
          <w:sz w:val="19"/>
        </w:rPr>
        <w:t>版本与文件状态摘要：</w:t>
      </w:r>
    </w:p>
    <w:tbl>
      <w:tblPr>
        <w:tblStyle w:val="32"/>
        <w:tblW w:w="8730" w:type="dxa"/>
        <w:jc w:val="center"/>
        <w:tblBorders>
          <w:top w:val="single" w:color="FFFFFF" w:sz="12" w:space="0"/>
          <w:left w:val="single" w:color="FFFFFF" w:sz="12" w:space="0"/>
          <w:bottom w:val="single" w:color="FFFFFF" w:sz="12" w:space="0"/>
          <w:right w:val="single" w:color="FFFFFF" w:sz="12" w:space="0"/>
          <w:insideH w:val="single" w:color="FFFFFF" w:sz="12" w:space="0"/>
          <w:insideV w:val="single" w:color="FFFFFF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814"/>
        <w:gridCol w:w="4818"/>
      </w:tblGrid>
      <w:tr w14:paraId="5A39C724">
        <w:trPr>
          <w:jc w:val="center"/>
        </w:trPr>
        <w:tc>
          <w:tcPr>
            <w:tcW w:w="2098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D093279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000000"/>
                <w:sz w:val="16"/>
              </w:rPr>
              <w:t>项目</w:t>
            </w:r>
          </w:p>
        </w:tc>
        <w:tc>
          <w:tcPr>
            <w:tcW w:w="1814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A2E5CC0">
            <w:pPr>
              <w:keepNext w:val="0"/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000000"/>
                <w:sz w:val="16"/>
              </w:rPr>
              <w:t>当前结果</w:t>
            </w:r>
          </w:p>
        </w:tc>
        <w:tc>
          <w:tcPr>
            <w:tcW w:w="4819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635AB32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000000"/>
                <w:sz w:val="16"/>
              </w:rPr>
              <w:t>说明</w:t>
            </w:r>
          </w:p>
        </w:tc>
      </w:tr>
      <w:tr w14:paraId="454A7E0E">
        <w:trPr>
          <w:jc w:val="center"/>
        </w:trPr>
        <w:tc>
          <w:tcPr>
            <w:tcW w:w="2098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936169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6"/>
              </w:rPr>
              <w:t>远端比较锚点</w:t>
            </w:r>
          </w:p>
        </w:tc>
        <w:tc>
          <w:tcPr>
            <w:tcW w:w="1814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E5E6924">
            <w:pPr>
              <w:keepNext w:val="0"/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6"/>
              </w:rPr>
              <w:t>c8df298</w:t>
            </w:r>
          </w:p>
        </w:tc>
        <w:tc>
          <w:tcPr>
            <w:tcW w:w="4819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B0A3AFC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6"/>
              </w:rPr>
              <w:t>昨日 main 的本地缓存；当前 HEAD 相同</w:t>
            </w:r>
          </w:p>
        </w:tc>
      </w:tr>
      <w:tr w14:paraId="2C2D0C06">
        <w:trPr>
          <w:jc w:val="center"/>
        </w:trPr>
        <w:tc>
          <w:tcPr>
            <w:tcW w:w="2098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5001C1E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6"/>
              </w:rPr>
              <w:t>版本化文件变化</w:t>
            </w:r>
          </w:p>
        </w:tc>
        <w:tc>
          <w:tcPr>
            <w:tcW w:w="1814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2C62E26">
            <w:pPr>
              <w:keepNext w:val="0"/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6"/>
              </w:rPr>
              <w:t>181 个</w:t>
            </w:r>
          </w:p>
        </w:tc>
        <w:tc>
          <w:tcPr>
            <w:tcW w:w="4819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4E85F46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6"/>
              </w:rPr>
              <w:t>6 个修改、175 个删除；另有 3 个新文档</w:t>
            </w:r>
          </w:p>
        </w:tc>
      </w:tr>
      <w:tr w14:paraId="767C4D3A">
        <w:trPr>
          <w:jc w:val="center"/>
        </w:trPr>
        <w:tc>
          <w:tcPr>
            <w:tcW w:w="2098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D9FF901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6"/>
              </w:rPr>
              <w:t>版本化行变化</w:t>
            </w:r>
          </w:p>
        </w:tc>
        <w:tc>
          <w:tcPr>
            <w:tcW w:w="1814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4917BD">
            <w:pPr>
              <w:keepNext w:val="0"/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6"/>
              </w:rPr>
              <w:t>+193 / -50,140</w:t>
            </w:r>
          </w:p>
        </w:tc>
        <w:tc>
          <w:tcPr>
            <w:tcW w:w="4819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897415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6"/>
              </w:rPr>
              <w:t>减量主要来自旧评测输出、过时文档和旧演示</w:t>
            </w:r>
          </w:p>
        </w:tc>
      </w:tr>
      <w:tr w14:paraId="6BA6A0DD">
        <w:trPr>
          <w:jc w:val="center"/>
        </w:trPr>
        <w:tc>
          <w:tcPr>
            <w:tcW w:w="2098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D5BC9EA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6"/>
              </w:rPr>
              <w:t>验证结果</w:t>
            </w:r>
          </w:p>
        </w:tc>
        <w:tc>
          <w:tcPr>
            <w:tcW w:w="1814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AA3BA71">
            <w:pPr>
              <w:keepNext w:val="0"/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6"/>
              </w:rPr>
              <w:t>944 + 34 / 63</w:t>
            </w:r>
          </w:p>
        </w:tc>
        <w:tc>
          <w:tcPr>
            <w:tcW w:w="4819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83B231F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6"/>
              </w:rPr>
              <w:t>非网络后端、关键合同、前端测试均通过</w:t>
            </w:r>
          </w:p>
        </w:tc>
      </w:tr>
    </w:tbl>
    <w:p w14:paraId="2FCB23BD">
      <w:pPr>
        <w:keepNext w:val="0"/>
        <w:spacing w:before="0" w:after="20" w:line="240" w:lineRule="auto"/>
        <w:rPr>
          <w:rFonts w:hint="eastAsia" w:ascii="PingFang SC Regular" w:hAnsi="PingFang SC Regular" w:eastAsia="PingFang SC Regular" w:cs="PingFang SC Regular"/>
        </w:rPr>
      </w:pPr>
    </w:p>
    <w:p w14:paraId="01C43AC7">
      <w:pPr>
        <w:keepNext/>
        <w:spacing w:before="100" w:after="100" w:line="288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0000"/>
          <w:sz w:val="19"/>
        </w:rPr>
        <w:t>研究问题：</w:t>
      </w:r>
    </w:p>
    <w:p w14:paraId="180EBD5F">
      <w:pPr>
        <w:keepNext w:val="0"/>
        <w:spacing w:before="0" w:after="60" w:line="288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主要问题：</w:t>
      </w:r>
    </w:p>
    <w:p w14:paraId="2A91CA09">
      <w:pPr>
        <w:pStyle w:val="16"/>
        <w:keepNext w:val="0"/>
        <w:spacing w:before="0" w:after="20" w:line="278" w:lineRule="auto"/>
        <w:ind w:left="454" w:hanging="198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Pi、DiagnosisOrchestrator、RulesOnlyReasoner、PlanDriver 和 AutonomousIncidentAgent 多个“主脑”并存，AI 与规则的责任仍不清晰。</w:t>
      </w:r>
    </w:p>
    <w:p w14:paraId="334EE8B7">
      <w:pPr>
        <w:pStyle w:val="16"/>
        <w:keepNext w:val="0"/>
        <w:spacing w:before="0" w:after="20" w:line="278" w:lineRule="auto"/>
        <w:ind w:left="454" w:hanging="198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Collector 在 Agent、Server、Schema、Query/Probe Registry、Tool Catalog 和 Web 中重复注册，能力数量和行为已经漂移。</w:t>
      </w:r>
    </w:p>
    <w:p w14:paraId="5CD13572">
      <w:pPr>
        <w:pStyle w:val="16"/>
        <w:keepNext w:val="0"/>
        <w:spacing w:before="0" w:after="20" w:line="278" w:lineRule="auto"/>
        <w:ind w:left="454" w:hanging="198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canonical Evidence 与人工 Review 已有底座，但统一 preview/download、单证据 AI 分析和 LOW_TRUST 全链传播仍未完成。</w:t>
      </w:r>
    </w:p>
    <w:p w14:paraId="5B5B1F5C">
      <w:pPr>
        <w:pStyle w:val="16"/>
        <w:keepNext w:val="0"/>
        <w:spacing w:before="0" w:after="20" w:line="278" w:lineRule="auto"/>
        <w:ind w:left="454" w:hanging="198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旧评测主要验证规则链；策略标签可能没有真正改变决策链，无法证明 AI 自主选择 Collector 带来的增益。</w:t>
      </w:r>
    </w:p>
    <w:p w14:paraId="4774E0B1">
      <w:pPr>
        <w:keepNext/>
        <w:spacing w:before="160" w:after="0" w:line="288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问题难度排序：</w:t>
      </w:r>
    </w:p>
    <w:p w14:paraId="22EDCB7F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13E8B53E">
      <w:pPr>
        <w:keepNext/>
        <w:spacing w:before="100" w:after="120" w:line="288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  <w:lang w:val="en-US" w:eastAsia="zh-CN"/>
        </w:rPr>
        <w:t>1</w:t>
      </w: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.  能缓解但需要系统改造的问题：</w:t>
      </w:r>
    </w:p>
    <w:tbl>
      <w:tblPr>
        <w:tblStyle w:val="32"/>
        <w:tblW w:w="8730" w:type="dxa"/>
        <w:jc w:val="center"/>
        <w:tblBorders>
          <w:top w:val="single" w:color="FFFFFF" w:sz="12" w:space="0"/>
          <w:left w:val="single" w:color="FFFFFF" w:sz="12" w:space="0"/>
          <w:bottom w:val="single" w:color="FFFFFF" w:sz="12" w:space="0"/>
          <w:right w:val="single" w:color="FFFFFF" w:sz="12" w:space="0"/>
          <w:insideH w:val="single" w:color="FFFFFF" w:sz="12" w:space="0"/>
          <w:insideV w:val="single" w:color="FFFFFF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1190"/>
        <w:gridCol w:w="963"/>
        <w:gridCol w:w="4308"/>
      </w:tblGrid>
      <w:tr w14:paraId="27862220">
        <w:trPr>
          <w:jc w:val="center"/>
        </w:trPr>
        <w:tc>
          <w:tcPr>
            <w:tcW w:w="2268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488A759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000000"/>
                <w:sz w:val="15"/>
              </w:rPr>
              <w:t>问题</w:t>
            </w:r>
          </w:p>
        </w:tc>
        <w:tc>
          <w:tcPr>
            <w:tcW w:w="1191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F2E6C39">
            <w:pPr>
              <w:keepNext w:val="0"/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000000"/>
                <w:sz w:val="15"/>
              </w:rPr>
              <w:t>对应任务</w:t>
            </w:r>
          </w:p>
        </w:tc>
        <w:tc>
          <w:tcPr>
            <w:tcW w:w="964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B370316">
            <w:pPr>
              <w:keepNext w:val="0"/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000000"/>
                <w:sz w:val="15"/>
              </w:rPr>
              <w:t>难度</w:t>
            </w:r>
          </w:p>
        </w:tc>
        <w:tc>
          <w:tcPr>
            <w:tcW w:w="4309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3416664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000000"/>
                <w:sz w:val="15"/>
              </w:rPr>
              <w:t>说明</w:t>
            </w:r>
          </w:p>
        </w:tc>
      </w:tr>
      <w:tr w14:paraId="23219515">
        <w:trPr>
          <w:jc w:val="center"/>
        </w:trPr>
        <w:tc>
          <w:tcPr>
            <w:tcW w:w="2268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3B870AF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Collector 注册表重复</w:t>
            </w:r>
          </w:p>
        </w:tc>
        <w:tc>
          <w:tcPr>
            <w:tcW w:w="1191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081F943">
            <w:pPr>
              <w:keepNext w:val="0"/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P1</w:t>
            </w:r>
          </w:p>
        </w:tc>
        <w:tc>
          <w:tcPr>
            <w:tcW w:w="964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ACBECFE">
            <w:pPr>
              <w:keepNext w:val="0"/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中</w:t>
            </w:r>
          </w:p>
        </w:tc>
        <w:tc>
          <w:tcPr>
            <w:tcW w:w="4309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C28D1AE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建立唯一 CollectorSpec，生成 Server 校验、AI Tool schema 和 Web 元数据；Agent 只上报实现及可执行子集。</w:t>
            </w:r>
          </w:p>
        </w:tc>
      </w:tr>
      <w:tr w14:paraId="6ED007C3">
        <w:trPr>
          <w:jc w:val="center"/>
        </w:trPr>
        <w:tc>
          <w:tcPr>
            <w:tcW w:w="2268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39C8CB3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Evidence 产品合同不完整</w:t>
            </w:r>
          </w:p>
        </w:tc>
        <w:tc>
          <w:tcPr>
            <w:tcW w:w="1191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FC44BAB">
            <w:pPr>
              <w:keepNext w:val="0"/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P2</w:t>
            </w:r>
          </w:p>
        </w:tc>
        <w:tc>
          <w:tcPr>
            <w:tcW w:w="964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EC2D904">
            <w:pPr>
              <w:keepNext w:val="0"/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中偏高</w:t>
            </w:r>
          </w:p>
        </w:tc>
        <w:tc>
          <w:tcPr>
            <w:tcW w:w="4309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0624800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统一 detail/preview/download/bundle；新增 EvidenceAnalysisRun、字段级引用验证和 Review 状态传播。</w:t>
            </w:r>
          </w:p>
        </w:tc>
      </w:tr>
      <w:tr w14:paraId="1B5F0165">
        <w:trPr>
          <w:jc w:val="center"/>
        </w:trPr>
        <w:tc>
          <w:tcPr>
            <w:tcW w:w="2268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F91608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模型尚未成为唯一采集决策者</w:t>
            </w:r>
          </w:p>
        </w:tc>
        <w:tc>
          <w:tcPr>
            <w:tcW w:w="1191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322932C">
            <w:pPr>
              <w:keepNext w:val="0"/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P3</w:t>
            </w:r>
          </w:p>
        </w:tc>
        <w:tc>
          <w:tcPr>
            <w:tcW w:w="964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B057768">
            <w:pPr>
              <w:keepNext w:val="0"/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中偏高</w:t>
            </w:r>
          </w:p>
        </w:tc>
        <w:tc>
          <w:tcPr>
            <w:tcW w:w="4309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8723D32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收窄 Pi Tool Catalog，新增 CollectorProposal；只允许 Supervisor 创建 AI 派生 Task，并用 Outbox/Wakeup 驱动下一轮。</w:t>
            </w:r>
          </w:p>
        </w:tc>
      </w:tr>
      <w:tr w14:paraId="120FFB85">
        <w:trPr>
          <w:jc w:val="center"/>
        </w:trPr>
        <w:tc>
          <w:tcPr>
            <w:tcW w:w="2268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173E07A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旧 v5/v6 文档被机器合同绑定</w:t>
            </w:r>
          </w:p>
        </w:tc>
        <w:tc>
          <w:tcPr>
            <w:tcW w:w="1191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DB03896">
            <w:pPr>
              <w:keepNext w:val="0"/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合同迁移</w:t>
            </w:r>
          </w:p>
        </w:tc>
        <w:tc>
          <w:tcPr>
            <w:tcW w:w="964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88B0298">
            <w:pPr>
              <w:keepNext w:val="0"/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中</w:t>
            </w:r>
          </w:p>
        </w:tc>
        <w:tc>
          <w:tcPr>
            <w:tcW w:w="4309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B07078D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v6 被 manifest、validator、test 和 candidate digest 读取，必须迁移到小型版本化 benchmark contract 后再删。</w:t>
            </w:r>
          </w:p>
        </w:tc>
      </w:tr>
    </w:tbl>
    <w:p w14:paraId="5D6B0EB5">
      <w:pPr>
        <w:keepNext w:val="0"/>
        <w:spacing w:before="0" w:after="20" w:line="240" w:lineRule="auto"/>
        <w:rPr>
          <w:rFonts w:hint="eastAsia" w:ascii="PingFang SC Regular" w:hAnsi="PingFang SC Regular" w:eastAsia="PingFang SC Regular" w:cs="PingFang SC Regular"/>
        </w:rPr>
      </w:pPr>
    </w:p>
    <w:p w14:paraId="71CC49AC">
      <w:pPr>
        <w:keepNext/>
        <w:spacing w:before="100" w:after="120" w:line="288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  <w:lang w:val="en-US" w:eastAsia="zh-CN"/>
        </w:rPr>
        <w:t>2</w:t>
      </w: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.  难以一次性解决的问题：</w:t>
      </w:r>
    </w:p>
    <w:tbl>
      <w:tblPr>
        <w:tblStyle w:val="32"/>
        <w:tblW w:w="8730" w:type="dxa"/>
        <w:jc w:val="center"/>
        <w:tblBorders>
          <w:top w:val="single" w:color="FFFFFF" w:sz="12" w:space="0"/>
          <w:left w:val="single" w:color="FFFFFF" w:sz="12" w:space="0"/>
          <w:bottom w:val="single" w:color="FFFFFF" w:sz="12" w:space="0"/>
          <w:right w:val="single" w:color="FFFFFF" w:sz="12" w:space="0"/>
          <w:insideH w:val="single" w:color="FFFFFF" w:sz="12" w:space="0"/>
          <w:insideV w:val="single" w:color="FFFFFF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1133"/>
        <w:gridCol w:w="4932"/>
      </w:tblGrid>
      <w:tr w14:paraId="4D746977">
        <w:trPr>
          <w:jc w:val="center"/>
        </w:trPr>
        <w:tc>
          <w:tcPr>
            <w:tcW w:w="2665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D243FB5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000000"/>
                <w:sz w:val="15"/>
              </w:rPr>
              <w:t>问题</w:t>
            </w:r>
          </w:p>
        </w:tc>
        <w:tc>
          <w:tcPr>
            <w:tcW w:w="1134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E8C1FCD">
            <w:pPr>
              <w:keepNext w:val="0"/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000000"/>
                <w:sz w:val="15"/>
              </w:rPr>
              <w:t>难度</w:t>
            </w:r>
          </w:p>
        </w:tc>
        <w:tc>
          <w:tcPr>
            <w:tcW w:w="4932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553CE0B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/>
                <w:color w:val="000000"/>
                <w:sz w:val="15"/>
              </w:rPr>
              <w:t>说明</w:t>
            </w:r>
          </w:p>
        </w:tc>
      </w:tr>
      <w:tr w14:paraId="52773D0B">
        <w:trPr>
          <w:jc w:val="center"/>
        </w:trPr>
        <w:tc>
          <w:tcPr>
            <w:tcW w:w="2665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84FBCF7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旧 RCA / Recovery 在线链路退役</w:t>
            </w:r>
          </w:p>
        </w:tc>
        <w:tc>
          <w:tcPr>
            <w:tcW w:w="1134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1B4E883">
            <w:pPr>
              <w:keepNext w:val="0"/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高</w:t>
            </w:r>
          </w:p>
        </w:tc>
        <w:tc>
          <w:tcPr>
            <w:tcW w:w="4932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F675EF6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仍被 app wiring、routes、persistence、Tool 与 migrations 导入。必须先停止新写、迁移 Evidence transform 和安全机制，再做只读兼容与数据库回滚验证。</w:t>
            </w:r>
          </w:p>
        </w:tc>
      </w:tr>
      <w:tr w14:paraId="7D807EDD">
        <w:trPr>
          <w:jc w:val="center"/>
        </w:trPr>
        <w:tc>
          <w:tcPr>
            <w:tcW w:w="2665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818338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公平证明相对其他运维 Agent 的优势</w:t>
            </w:r>
          </w:p>
        </w:tc>
        <w:tc>
          <w:tcPr>
            <w:tcW w:w="1134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0A80DD6">
            <w:pPr>
              <w:keepNext w:val="0"/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高</w:t>
            </w:r>
          </w:p>
        </w:tc>
        <w:tc>
          <w:tcPr>
            <w:tcW w:w="4932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E44BC0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需要同模型、同预算、同工具返回的 tool-parity 对照，以及 private oracle、泄漏审计、配对置信区间和真实 Linux 场景。</w:t>
            </w:r>
          </w:p>
        </w:tc>
      </w:tr>
      <w:tr w14:paraId="4A41AF20">
        <w:trPr>
          <w:jc w:val="center"/>
        </w:trPr>
        <w:tc>
          <w:tcPr>
            <w:tcW w:w="2665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176ED51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演化为成熟通用运维 Agent</w:t>
            </w:r>
          </w:p>
        </w:tc>
        <w:tc>
          <w:tcPr>
            <w:tcW w:w="1134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CE3C987">
            <w:pPr>
              <w:keepNext w:val="0"/>
              <w:spacing w:before="0" w:after="0" w:line="259" w:lineRule="auto"/>
              <w:jc w:val="center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长期</w:t>
            </w:r>
          </w:p>
        </w:tc>
        <w:tc>
          <w:tcPr>
            <w:tcW w:w="4932" w:type="dxa"/>
            <w:shd w:val="clear" w:color="auto" w:fill="E9E9E9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B93B129">
            <w:pPr>
              <w:keepNext w:val="0"/>
              <w:spacing w:before="0" w:after="0" w:line="259" w:lineRule="auto"/>
              <w:jc w:val="left"/>
              <w:rPr>
                <w:rFonts w:hint="eastAsia" w:ascii="PingFang SC Regular" w:hAnsi="PingFang SC Regular" w:eastAsia="PingFang SC Regular" w:cs="PingFang SC Regular"/>
              </w:rPr>
            </w:pPr>
            <w:r>
              <w:rPr>
                <w:rFonts w:hint="eastAsia" w:ascii="PingFang SC Regular" w:hAnsi="PingFang SC Regular" w:eastAsia="PingFang SC Regular" w:cs="PingFang SC Regular"/>
                <w:b w:val="0"/>
                <w:color w:val="000000"/>
                <w:sz w:val="15"/>
              </w:rPr>
              <w:t>仍缺广泛资产拓扑、变更系统、Kubernetes/云连接器、持续告警接管和经过验证的恢复能力，不宜在本期承诺。</w:t>
            </w:r>
          </w:p>
        </w:tc>
      </w:tr>
    </w:tbl>
    <w:p w14:paraId="685992BB">
      <w:pPr>
        <w:keepNext w:val="0"/>
        <w:spacing w:before="0" w:after="20" w:line="240" w:lineRule="auto"/>
        <w:rPr>
          <w:rFonts w:hint="eastAsia" w:ascii="PingFang SC Regular" w:hAnsi="PingFang SC Regular" w:eastAsia="PingFang SC Regular" w:cs="PingFang SC Regular"/>
        </w:rPr>
      </w:pPr>
    </w:p>
    <w:p w14:paraId="0D2CF967">
      <w:pPr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br w:type="page"/>
      </w:r>
    </w:p>
    <w:p w14:paraId="71BF16CA">
      <w:pPr>
        <w:keepNext/>
        <w:spacing w:before="0" w:after="160" w:line="288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0000"/>
          <w:sz w:val="19"/>
        </w:rPr>
        <w:t>已解决的问题与解决方案：</w:t>
      </w:r>
    </w:p>
    <w:p w14:paraId="02A7E5AC">
      <w:pPr>
        <w:pStyle w:val="14"/>
        <w:keepNext w:val="0"/>
        <w:spacing w:before="0" w:after="40" w:line="283" w:lineRule="auto"/>
        <w:ind w:left="454" w:hanging="25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0000"/>
          <w:sz w:val="19"/>
        </w:rPr>
        <w:t>规划真源冲突</w:t>
      </w: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——解决方案：新增 ai_collector_architecture_and_migration_plan.md，明确产品边界、竞品差异、P0-P6 阶段、删除门禁和可用性停止点。旧稿只作历史素材。</w:t>
      </w:r>
    </w:p>
    <w:p w14:paraId="4816B838">
      <w:pPr>
        <w:pStyle w:val="14"/>
        <w:keepNext w:val="0"/>
        <w:spacing w:before="0" w:after="40" w:line="283" w:lineRule="auto"/>
        <w:ind w:left="454" w:hanging="25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0000"/>
          <w:sz w:val="19"/>
        </w:rPr>
        <w:t>仓库历史噪声</w:t>
      </w: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——解决方案：删除 11 份过时进度/验收文档、162 份历史评测输出和 2 个旧演示脚本，并补充忽略规则和可恢复的清理审计。</w:t>
      </w:r>
    </w:p>
    <w:p w14:paraId="39360935">
      <w:pPr>
        <w:pStyle w:val="14"/>
        <w:keepNext w:val="0"/>
        <w:spacing w:before="0" w:after="40" w:line="283" w:lineRule="auto"/>
        <w:ind w:left="454" w:hanging="25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0000"/>
          <w:sz w:val="19"/>
        </w:rPr>
        <w:t>盲评答案泄漏与评分偏松</w:t>
      </w: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——解决方案：fault label 只通过环境变量注入故障进程，不进入模型 prompt 或目标 argv；根因匹配改为故障特异词组，并要求服务端 Evidence verifier。</w:t>
      </w:r>
    </w:p>
    <w:p w14:paraId="1DB42317">
      <w:pPr>
        <w:pStyle w:val="14"/>
        <w:keepNext w:val="0"/>
        <w:spacing w:before="0" w:after="40" w:line="283" w:lineRule="auto"/>
        <w:ind w:left="454" w:hanging="25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0000"/>
          <w:sz w:val="19"/>
        </w:rPr>
        <w:t>删除风险不可验证</w:t>
      </w: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——解决方案：清理前后执行同口径回归。结果为非网络后端 944 passed / 5 skipped、关键合同 34 passed、前端 63 passed，注册表、迁移、manifest 和构建门禁均通过。</w:t>
      </w:r>
    </w:p>
    <w:p w14:paraId="34D2120F">
      <w:pPr>
        <w:keepNext/>
        <w:spacing w:before="280" w:after="160" w:line="288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0000"/>
          <w:sz w:val="19"/>
        </w:rPr>
        <w:t>To do List：</w:t>
      </w:r>
    </w:p>
    <w:p w14:paraId="22A0864C">
      <w:pPr>
        <w:pStyle w:val="14"/>
        <w:keepNext w:val="0"/>
        <w:spacing w:before="0" w:after="40" w:line="283" w:lineRule="auto"/>
        <w:ind w:left="454" w:hanging="25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0000"/>
          <w:sz w:val="19"/>
        </w:rPr>
        <w:t>完成 P0：</w:t>
      </w: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更新根 README 的产品定位，绘制所有在线 RCA/Recovery 依赖图，并增加“AI 派生 Task 只能经 Supervisor”的架构测试。</w:t>
      </w:r>
    </w:p>
    <w:p w14:paraId="4C89D5CC">
      <w:pPr>
        <w:pStyle w:val="14"/>
        <w:keepNext w:val="0"/>
        <w:spacing w:before="0" w:after="40" w:line="283" w:lineRule="auto"/>
        <w:ind w:left="454" w:hanging="25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0000"/>
          <w:sz w:val="19"/>
        </w:rPr>
        <w:t>推进 P1：</w:t>
      </w: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建立唯一 CollectorSpec 和 collectors.v1，消除 Agent / Server / Web / Tool Catalog 的重复注册。</w:t>
      </w:r>
    </w:p>
    <w:p w14:paraId="3F7CF2A8">
      <w:pPr>
        <w:pStyle w:val="14"/>
        <w:keepNext w:val="0"/>
        <w:spacing w:before="0" w:after="40" w:line="283" w:lineRule="auto"/>
        <w:ind w:left="454" w:hanging="25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0000"/>
          <w:sz w:val="19"/>
        </w:rPr>
        <w:t>推进 P2：</w:t>
      </w: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实现全类型 Evidence 预览、下载、bundle、单证据 AI 分析和 Review 状态的确定性传播。</w:t>
      </w:r>
    </w:p>
    <w:p w14:paraId="4A6FBBDD">
      <w:pPr>
        <w:pStyle w:val="14"/>
        <w:keepNext w:val="0"/>
        <w:spacing w:before="0" w:after="40" w:line="283" w:lineRule="auto"/>
        <w:ind w:left="454" w:hanging="25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0000"/>
          <w:sz w:val="19"/>
        </w:rPr>
        <w:t>推进 P3：</w:t>
      </w: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建立唯一 AI Collector Loop，在至少三个真实场景中证明模型依据不同 Evidence 选择不同下一采集器。</w:t>
      </w:r>
    </w:p>
    <w:p w14:paraId="4D929D39">
      <w:pPr>
        <w:pStyle w:val="14"/>
        <w:keepNext w:val="0"/>
        <w:spacing w:before="0" w:after="40" w:line="283" w:lineRule="auto"/>
        <w:ind w:left="454" w:hanging="25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0000"/>
          <w:sz w:val="19"/>
        </w:rPr>
        <w:t>准备 P4：</w:t>
      </w: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把旧 RCA/Recovery 入口转为 legacy read-only，迁移可复用 parser、policy、audit 后再删除在线 imports 和表。</w:t>
      </w:r>
    </w:p>
    <w:p w14:paraId="578A5640">
      <w:pPr>
        <w:pStyle w:val="14"/>
        <w:keepNext w:val="0"/>
        <w:spacing w:before="0" w:after="40" w:line="283" w:lineRule="auto"/>
        <w:ind w:left="454" w:hanging="255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0000"/>
          <w:sz w:val="19"/>
        </w:rPr>
        <w:t>重建评测：</w:t>
      </w: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创建 collector_agent_v1，完成固定序列、旧规则、同模型一次性 Evidence 等消融，再与 HolmesGPT/kagent 做 tool-parity 对照。</w:t>
      </w:r>
    </w:p>
    <w:p w14:paraId="1742499E">
      <w:pPr>
        <w:keepNext w:val="0"/>
        <w:spacing w:before="200" w:after="0" w:line="300" w:lineRule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000000"/>
          <w:sz w:val="19"/>
        </w:rPr>
        <w:t>说明：</w:t>
      </w:r>
      <w:r>
        <w:rPr>
          <w:rFonts w:hint="eastAsia" w:ascii="PingFang SC Regular" w:hAnsi="PingFang SC Regular" w:eastAsia="PingFang SC Regular" w:cs="PingFang SC Regular"/>
          <w:b w:val="0"/>
          <w:color w:val="000000"/>
          <w:sz w:val="19"/>
        </w:rPr>
        <w:t>GitHub 远端查询因当前 DNS 与审批服务不可用，本日报采用本地缓存的 origin/main@c8df298 作为 8 月 19 日比较基线；未把当前工作树描述为已推送版本。</w:t>
      </w:r>
    </w:p>
    <w:bookmarkEnd w:id="0"/>
    <w:sectPr>
      <w:pgSz w:w="11906" w:h="16838"/>
      <w:pgMar w:top="1191" w:right="1559" w:bottom="1191" w:left="1559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EF3F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88" w:lineRule="auto"/>
    </w:pPr>
    <w:rPr>
      <w:rFonts w:ascii="Arial Unicode MS" w:hAnsi="Arial Unicode MS" w:eastAsia="Arial Unicode MS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江育林</dc:creator>
  <dc:description>generated by python-docx</dc:description>
  <cp:lastModifiedBy>江育林</cp:lastModifiedBy>
  <dcterms:modified xsi:type="dcterms:W3CDTF">2026-08-20T00:36:40Z</dcterms:modified>
  <dc:subject>Mini-Drop 项目规划与文件状态日报</dc:subject>
  <dc:title>Mini_Drop 报告——AI功能探索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2052-12.1.26015.26015</vt:lpwstr>
  </property>
  <property fmtid="{D5CDD505-2E9C-101B-9397-08002B2CF9AE}" pid="3" name="ICV">
    <vt:lpwstr>120E48B64644095398DB856A93CC5CC5_42</vt:lpwstr>
  </property>
</Properties>
</file>