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Week 1 Retrieval Test Results</w:t>
      </w:r>
    </w:p>
    <w:p>
      <w:pPr>
        <w:spacing w:after="60"/>
        <w:jc w:val="center"/>
      </w:pPr>
      <w:r>
        <w:rPr>
          <w:rFonts w:ascii="Arial" w:cs="Arial" w:eastAsia="Arial" w:hAnsi="Arial"/>
          <w:color w:val="2E5DAB"/>
          <w:sz w:val="24"/>
          <w:szCs w:val="24"/>
        </w:rPr>
        <w:t xml:space="preserve">Project CMAP 2026  |  AI Agent in Asset Finance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LifeX Asset Finance  |  Group 2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Sameep (AI / RAG &amp; Data Engineer)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30 June 2026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report presents the Week 1 retrieval accuracy test results for the Project CMAP 2026 RAG pipeline. The system was evaluated against a 100-question benchmark spanning all four lenders (BFS, Resimac, Westpac, CFAL) across nine question categories designed to reflect real broker queries.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tested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 / 4.00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scores (4/4)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/ 100 (44%)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hit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Lenders 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BFS, Resimac, Westpac, CFAL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(Eligibility, Pricing, Loan Limits, Documentation, Fees, Settlement, Exclusions, Special Programs, Asset Eligibility)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System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RAG pipeline was built using Python, LlamaIndex, ChromaDB and Groq (Llama 3.1 8B Instant). The system comprises four key components:</w:t>
      </w:r>
    </w:p>
    <w:p>
      <w:pPr>
        <w:spacing w:after="120"/>
      </w:pPr>
      <w:r>
        <w:t xml:space="preserve"/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Knowledge Base: 35 structured policy chunks across 4 lenders, parsed from per-lender markdown files (bfs_chunks_v2.md, westpac_chunks_v2.md, resimac_chunks_v2.md, cfal_chunks_v2.md)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Vector Store: ChromaDB running locally with 35 embedded chunks, each tagged with lender, intent, asset class, doc type, loan size band, and effective date metadata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Retrieval Engine: Dual-filter retrieval using lender detection (LENDER_KEYWORDS) and intent classification (INTENT_KEYWORDS) applied before vector similarity search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Answer Generation: Groq API (Llama 3.1 8B Instant) generating answers from retrieved chunks only, with mandatory chunk_id source attribution per fact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embedding model (BAAI/bge-small-en-v1.5) runs entirely locally with no API cost. Each chunk is enriched before embedding with its answerable_questions and trigger_words fields, improving semantic retrieval accuracy for broker-style natural language queries.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Results by Lender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Lender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Resimac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3.50 / 4.00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performing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3.27 / 4.00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Westpac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3.08 / 4.00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 / 4.00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four lenders achieved scores above 3.00/4.00. Resimac performed best, reflecting the clean structure of its chunk files and the effectiveness of the tier-based metadata filtering. BFS scored lowest due to intent detection mismatches on questions that span multiple categories (e.g. deposit requirements appearing in both ELIGIBILITY and PRICING contexts).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Results by Question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3.70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performing - precise keyword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3.50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- PPSR and CoC questions answered precisely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3.45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- NAF, LVR, exposure limits all retrieved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3.33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- Low Doc vs Full Doc pathways correctly distinguished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SPECIAL_PROGRAMS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from 2.50 after adding SPECIAL_PROGRAMS intent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3.19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- rate tables and loadings accurately retrieved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 - small sample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2.94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improvement - some intent misclassification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ASSET_ELIGIBILITY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2.91 / 4.00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improvement - overlap with LOAN_LIMITS intent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Evaluation Methodology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 were drawn from the QuestionBank.xlsx prepared by Maksim (Finance &amp; Policy Analyst). Each question has a gold standard answer and an expected source chunk_id. Scoring used a 1-4 rubric: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8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source chunk retrieved AND all key figures/terms present in 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source chunk retrieved, key figures partially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source chunk retrieved but answer contains correct figures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source chunk AND incorrect or absent answer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Key Technical Achievements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Metadata filtering successfully prevents cross-lender contamination - a question about Westpac rates returns only Westpac chunks, never Resimac or BFS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SPECIAL_PROGRAMS category improved from 2.50/4.00 to 3.12/4.00 after adding Medical/Rollover/Replacement keywords to intent detection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Module-level initialisation prevents RAM exhaustion across 100+ sequential queries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85% source hit rate confirms the correct policy chunk is being retrieved in the vast majority of cases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All 7 source PDFs successfully ingested and accessible, including previously corrupted PowerPoint-exported Westpac rate charts (resolved by switching from pypdf to pymupdf)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Known Issues and Next Steps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7.1 Remaining Intent Detection Gaps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 about CFAL DriveXpress are occasionally misrouted to WESTPAC because the word 'DriveXpress' appears in both lenders. Fix: remove 'drivexpress' from WESTPAC lender keywords. Estimated impact: +3-4 source hit rate percentage points.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ELIGIBILITY and ASSET_ELIGIBILITY questions overlap semantically. Some questions about vehicle age limits trigger LOAN_LIMITS intent instead of ASSET_ELIGIBILITY. Planned fix: expand ASSET_ELIGIBILITY keywords with more vehicle-specific terms.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7.2 Scoring Algorithm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automated scoring algorithm underscores some correct answers where the LLM rephrases figures (e.g. '25 basis points' vs '0.25%'). True accuracy is likely 3-5 points higher than reported. Manual spot-check of 20 answers confirms the pipeline answers are commercially accurate.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7.3 Week 2 Priorities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Implement persistent answer library (second ChromaDB collection for validated Q&amp;A cache)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Build FastAPI endpoint to connect Python RAG pipeline to Samyak &amp; Umair's Node.js backend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Fix remaining intent detection edge cases based on Week 1 failure analysis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Re-run full evaluation after intent fixes and record improved baseline score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4"/>
        </w:pBdr>
        <w:spacing w:before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Sameep (AI / RAG &amp; Data Engineer)  |  Project CMAP 2026  |  Group 2  |  LifeX Asset Finance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LifeX Asset Finance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</w:pPr>
    <w:r>
      <w:rPr>
        <w:rFonts w:ascii="Arial" w:cs="Arial" w:eastAsia="Arial" w:hAnsi="Arial"/>
        <w:color w:val="1B3A6B"/>
        <w:sz w:val="18"/>
        <w:szCs w:val="18"/>
      </w:rPr>
      <w:t xml:space="preserve">Project CMAP 2026  |  AI Agent in Asset Finance  |  Group 2</w:t>
    </w:r>
    <w:r>
      <w:rPr>
        <w:rFonts w:ascii="Arial" w:cs="Arial" w:eastAsia="Arial" w:hAnsi="Arial"/>
        <w:color w:val="888888"/>
        <w:sz w:val="18"/>
        <w:szCs w:val="18"/>
      </w:rPr>
      <w:t xml:space="preserve">		Week 1 Deliverable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2026-07-01T22:09:25.546Z</dcterms:created>
  <dcterms:modified xsi:type="dcterms:W3CDTF">2026-07-01T22:09:25.558Z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