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68279" w14:textId="77777777" w:rsidR="006B6E7C" w:rsidRDefault="00000000">
      <w:pPr>
        <w:spacing w:before="157" w:after="157" w:line="270" w:lineRule="auto"/>
      </w:pPr>
      <w:bookmarkStart w:id="0" w:name="bfs_policy_inconsistencies_and_co_8acfc8"/>
      <w:r>
        <w:rPr>
          <w:rFonts w:ascii="source serif 4" w:eastAsia="source serif 4" w:hAnsi="source serif 4" w:cs="source serif 4"/>
          <w:b/>
          <w:color w:val="000000"/>
          <w:sz w:val="39"/>
        </w:rPr>
        <w:t>BFS policy inconsistencies and confusion points</w:t>
      </w:r>
      <w:bookmarkEnd w:id="0"/>
    </w:p>
    <w:p w14:paraId="42481EB8" w14:textId="37A2377E" w:rsidR="006B6E7C" w:rsidRDefault="00000000">
      <w:pPr>
        <w:spacing w:after="210" w:line="360" w:lineRule="auto"/>
      </w:pPr>
      <w:r>
        <w:rPr>
          <w:rFonts w:ascii="source serif 4" w:eastAsia="source serif 4" w:hAnsi="source serif 4" w:cs="source serif 4"/>
          <w:color w:val="000000"/>
        </w:rPr>
        <w:t>This file lists wording issues, gaps, and policy details that may confuse an internal AI model reading the BFS Prime Plus Product Guide dated effective 1 July 2026.</w:t>
      </w:r>
    </w:p>
    <w:p w14:paraId="63CF4C9D" w14:textId="77777777" w:rsidR="006B6E7C" w:rsidRDefault="00000000">
      <w:pPr>
        <w:spacing w:before="315" w:after="105" w:line="360" w:lineRule="auto"/>
        <w:ind w:left="-30"/>
      </w:pPr>
      <w:bookmarkStart w:id="1" w:name="bm_1_no_definition_for_classic_car"/>
      <w:r>
        <w:rPr>
          <w:rFonts w:ascii="source serif 4" w:eastAsia="source serif 4" w:hAnsi="source serif 4" w:cs="source serif 4"/>
          <w:b/>
          <w:color w:val="000000"/>
          <w:sz w:val="24"/>
        </w:rPr>
        <w:t>1. No definition for “classic car”</w:t>
      </w:r>
      <w:bookmarkEnd w:id="1"/>
    </w:p>
    <w:p w14:paraId="22BAFFB9" w14:textId="0B040240" w:rsidR="006B6E7C" w:rsidRDefault="00000000">
      <w:pPr>
        <w:spacing w:after="210" w:line="360" w:lineRule="auto"/>
      </w:pPr>
      <w:r>
        <w:rPr>
          <w:rFonts w:ascii="source serif 4" w:eastAsia="source serif 4" w:hAnsi="source serif 4" w:cs="source serif 4"/>
          <w:color w:val="000000"/>
        </w:rPr>
        <w:t>The guide does not use or define the term “classic car” anywhere. If a user asks for the interest rate for a classic car, the policy does not give a direct answer; the only available buckets are vehicle age bands such as new/demo, used 2022 to 2026, used 2017 to 2021, and used 2016 and older.</w:t>
      </w:r>
    </w:p>
    <w:p w14:paraId="7AF12A21" w14:textId="77777777" w:rsidR="006B6E7C" w:rsidRDefault="00000000">
      <w:pPr>
        <w:spacing w:after="210" w:line="360" w:lineRule="auto"/>
      </w:pPr>
      <w:r>
        <w:rPr>
          <w:rFonts w:ascii="source serif 4" w:eastAsia="source serif 4" w:hAnsi="source serif 4" w:cs="source serif 4"/>
          <w:color w:val="000000"/>
        </w:rPr>
        <w:t>Why this is confusing:</w:t>
      </w:r>
    </w:p>
    <w:p w14:paraId="10EA3099" w14:textId="33D7064D" w:rsidR="006B6E7C" w:rsidRDefault="00000000">
      <w:pPr>
        <w:numPr>
          <w:ilvl w:val="0"/>
          <w:numId w:val="1"/>
        </w:numPr>
        <w:spacing w:before="105" w:after="105" w:line="360" w:lineRule="auto"/>
      </w:pPr>
      <w:r>
        <w:rPr>
          <w:rFonts w:ascii="source serif 4" w:eastAsia="source serif 4" w:hAnsi="source serif 4" w:cs="source serif 4"/>
          <w:color w:val="000000"/>
        </w:rPr>
        <w:t>A model may invent a special classic-car policy even though none is stated.</w:t>
      </w:r>
    </w:p>
    <w:p w14:paraId="035713C2" w14:textId="35F084FB" w:rsidR="006B6E7C" w:rsidRDefault="00000000">
      <w:pPr>
        <w:numPr>
          <w:ilvl w:val="0"/>
          <w:numId w:val="1"/>
        </w:numPr>
        <w:spacing w:before="105" w:after="105" w:line="360" w:lineRule="auto"/>
      </w:pPr>
      <w:r>
        <w:rPr>
          <w:rFonts w:ascii="source serif 4" w:eastAsia="source serif 4" w:hAnsi="source serif 4" w:cs="source serif 4"/>
          <w:color w:val="000000"/>
        </w:rPr>
        <w:t>Older vehicles may also fail the maximum vehicle age rule, so the pricing bucket alone is not enough to establish eligibility.</w:t>
      </w:r>
    </w:p>
    <w:p w14:paraId="3E9DB977" w14:textId="77777777" w:rsidR="006B6E7C" w:rsidRDefault="00000000">
      <w:pPr>
        <w:spacing w:after="210" w:line="360" w:lineRule="auto"/>
      </w:pPr>
      <w:r>
        <w:rPr>
          <w:rFonts w:ascii="source serif 4" w:eastAsia="source serif 4" w:hAnsi="source serif 4" w:cs="source serif 4"/>
          <w:color w:val="000000"/>
        </w:rPr>
        <w:t>Practical reading:</w:t>
      </w:r>
    </w:p>
    <w:p w14:paraId="43E0E8B7" w14:textId="5B198286" w:rsidR="006B6E7C" w:rsidRDefault="00000000">
      <w:pPr>
        <w:numPr>
          <w:ilvl w:val="0"/>
          <w:numId w:val="2"/>
        </w:numPr>
        <w:spacing w:before="105" w:after="105" w:line="360" w:lineRule="auto"/>
      </w:pPr>
      <w:r>
        <w:rPr>
          <w:rFonts w:ascii="source serif 4" w:eastAsia="source serif 4" w:hAnsi="source serif 4" w:cs="source serif 4"/>
          <w:color w:val="000000"/>
        </w:rPr>
        <w:t>There is no separate classic-car rate in this document.</w:t>
      </w:r>
    </w:p>
    <w:p w14:paraId="5D4F2E8C" w14:textId="77777777" w:rsidR="00D70EC4" w:rsidRPr="00D70EC4" w:rsidRDefault="00000000" w:rsidP="00D70EC4">
      <w:pPr>
        <w:numPr>
          <w:ilvl w:val="0"/>
          <w:numId w:val="2"/>
        </w:numPr>
        <w:spacing w:before="315" w:after="105" w:line="360" w:lineRule="auto"/>
        <w:ind w:left="-30"/>
      </w:pPr>
      <w:r w:rsidRPr="00D70EC4">
        <w:rPr>
          <w:rFonts w:ascii="source serif 4" w:eastAsia="source serif 4" w:hAnsi="source serif 4" w:cs="source serif 4"/>
          <w:color w:val="000000"/>
        </w:rPr>
        <w:t>Any answer on classic cars should say “not explicitly defined in this guide” before mentioning possible older-used pricing buckets.</w:t>
      </w:r>
      <w:bookmarkStart w:id="2" w:name="bm_2_pricing_table_labels_are_uneven"/>
    </w:p>
    <w:p w14:paraId="62448E3A" w14:textId="1D3D8CCC" w:rsidR="006B6E7C" w:rsidRDefault="00000000" w:rsidP="00D70EC4">
      <w:pPr>
        <w:numPr>
          <w:ilvl w:val="0"/>
          <w:numId w:val="2"/>
        </w:numPr>
        <w:spacing w:before="315" w:after="105" w:line="360" w:lineRule="auto"/>
        <w:ind w:left="-30"/>
      </w:pPr>
      <w:r w:rsidRPr="00D70EC4">
        <w:rPr>
          <w:rFonts w:ascii="source serif 4" w:eastAsia="source serif 4" w:hAnsi="source serif 4" w:cs="source serif 4"/>
          <w:b/>
          <w:color w:val="000000"/>
          <w:sz w:val="24"/>
        </w:rPr>
        <w:t>2. Pricing table labels are uneven</w:t>
      </w:r>
      <w:bookmarkEnd w:id="2"/>
    </w:p>
    <w:p w14:paraId="7B112C85" w14:textId="074138BC" w:rsidR="006B6E7C" w:rsidRDefault="00000000">
      <w:pPr>
        <w:spacing w:after="210" w:line="360" w:lineRule="auto"/>
      </w:pPr>
      <w:r>
        <w:rPr>
          <w:rFonts w:ascii="source serif 4" w:eastAsia="source serif 4" w:hAnsi="source serif 4" w:cs="source serif 4"/>
          <w:color w:val="000000"/>
        </w:rPr>
        <w:t xml:space="preserve">In commercial pricing, “Base Rates” appears once and then tier rates are shown across the row, while BFS Plus has a separate “Maximum Rate” box of 17.15%. In consumer pricing, the heading </w:t>
      </w:r>
      <w:proofErr w:type="gramStart"/>
      <w:r>
        <w:rPr>
          <w:rFonts w:ascii="source serif 4" w:eastAsia="source serif 4" w:hAnsi="source serif 4" w:cs="source serif 4"/>
          <w:color w:val="000000"/>
        </w:rPr>
        <w:t>says</w:t>
      </w:r>
      <w:proofErr w:type="gramEnd"/>
      <w:r>
        <w:rPr>
          <w:rFonts w:ascii="source serif 4" w:eastAsia="source serif 4" w:hAnsi="source serif 4" w:cs="source serif 4"/>
          <w:color w:val="000000"/>
        </w:rPr>
        <w:t xml:space="preserve"> “Maximum Rates,” but the row pattern still behaves like tier-based rate ceilings rather than a simple one-rate schedule.</w:t>
      </w:r>
    </w:p>
    <w:p w14:paraId="5CE5E845" w14:textId="77777777" w:rsidR="006B6E7C" w:rsidRDefault="00000000">
      <w:pPr>
        <w:spacing w:after="210" w:line="360" w:lineRule="auto"/>
      </w:pPr>
      <w:r>
        <w:rPr>
          <w:rFonts w:ascii="source serif 4" w:eastAsia="source serif 4" w:hAnsi="source serif 4" w:cs="source serif 4"/>
          <w:color w:val="000000"/>
        </w:rPr>
        <w:t>Why this is confusing:</w:t>
      </w:r>
    </w:p>
    <w:p w14:paraId="7B0C85F1" w14:textId="6C2A469B" w:rsidR="006B6E7C" w:rsidRDefault="00000000">
      <w:pPr>
        <w:numPr>
          <w:ilvl w:val="0"/>
          <w:numId w:val="3"/>
        </w:numPr>
        <w:spacing w:before="105" w:after="105" w:line="360" w:lineRule="auto"/>
      </w:pPr>
      <w:r>
        <w:rPr>
          <w:rFonts w:ascii="source serif 4" w:eastAsia="source serif 4" w:hAnsi="source serif 4" w:cs="source serif 4"/>
          <w:color w:val="000000"/>
        </w:rPr>
        <w:t>A model may treat every number as directly comparable, even though the table layout suggests different meanings for Ultra Prime versus other tiers.</w:t>
      </w:r>
    </w:p>
    <w:p w14:paraId="2A7B5774" w14:textId="2CE39EFF" w:rsidR="006B6E7C" w:rsidRDefault="00000000">
      <w:pPr>
        <w:numPr>
          <w:ilvl w:val="0"/>
          <w:numId w:val="3"/>
        </w:numPr>
        <w:spacing w:before="105" w:after="105" w:line="360" w:lineRule="auto"/>
      </w:pPr>
      <w:r>
        <w:rPr>
          <w:rFonts w:ascii="source serif 4" w:eastAsia="source serif 4" w:hAnsi="source serif 4" w:cs="source serif 4"/>
          <w:color w:val="000000"/>
        </w:rPr>
        <w:t>The phrase “A discount of up to 2% may be applied to the maximum rate” appears in a way that is visually repetitive and can be read as either a universal rule or a BFS Plus-only note.</w:t>
      </w:r>
    </w:p>
    <w:p w14:paraId="58D6BC01" w14:textId="77777777" w:rsidR="006B6E7C" w:rsidRDefault="00000000">
      <w:pPr>
        <w:spacing w:before="315" w:after="105" w:line="360" w:lineRule="auto"/>
        <w:ind w:left="-30"/>
      </w:pPr>
      <w:bookmarkStart w:id="3" w:name="bm_3_vehicle_age_and_pricing_buck_8db4ee"/>
      <w:r>
        <w:rPr>
          <w:rFonts w:ascii="source serif 4" w:eastAsia="source serif 4" w:hAnsi="source serif 4" w:cs="source serif 4"/>
          <w:b/>
          <w:color w:val="000000"/>
          <w:sz w:val="24"/>
        </w:rPr>
        <w:t>3. Vehicle age and pricing buckets can clash</w:t>
      </w:r>
      <w:bookmarkEnd w:id="3"/>
    </w:p>
    <w:p w14:paraId="40F75B6A" w14:textId="3BCB0A9E" w:rsidR="006B6E7C" w:rsidRDefault="00000000">
      <w:pPr>
        <w:spacing w:after="210" w:line="360" w:lineRule="auto"/>
      </w:pPr>
      <w:r>
        <w:rPr>
          <w:rFonts w:ascii="source serif 4" w:eastAsia="source serif 4" w:hAnsi="source serif 4" w:cs="source serif 4"/>
          <w:color w:val="000000"/>
        </w:rPr>
        <w:lastRenderedPageBreak/>
        <w:t>Prime allows maximum vehicle age of 15 years at the start of term for terms up to 60 months, or 7 years at the start of term for terms over 60 months. Yet the pricing table also includes a broad “used 2016 and older” bucket.</w:t>
      </w:r>
    </w:p>
    <w:p w14:paraId="6C7ABE4F" w14:textId="77777777" w:rsidR="006B6E7C" w:rsidRDefault="00000000">
      <w:pPr>
        <w:spacing w:after="210" w:line="360" w:lineRule="auto"/>
      </w:pPr>
      <w:r>
        <w:rPr>
          <w:rFonts w:ascii="source serif 4" w:eastAsia="source serif 4" w:hAnsi="source serif 4" w:cs="source serif 4"/>
          <w:color w:val="000000"/>
        </w:rPr>
        <w:t>Why this is confusing:</w:t>
      </w:r>
    </w:p>
    <w:p w14:paraId="3BE3BD82" w14:textId="77631468" w:rsidR="006B6E7C" w:rsidRDefault="00000000">
      <w:pPr>
        <w:numPr>
          <w:ilvl w:val="0"/>
          <w:numId w:val="4"/>
        </w:numPr>
        <w:spacing w:before="105" w:after="105" w:line="360" w:lineRule="auto"/>
      </w:pPr>
      <w:r>
        <w:rPr>
          <w:rFonts w:ascii="source serif 4" w:eastAsia="source serif 4" w:hAnsi="source serif 4" w:cs="source serif 4"/>
          <w:color w:val="000000"/>
        </w:rPr>
        <w:t>A model may assume every vehicle in the “2016 and older” pricing bucket is financeable, which is not true because eligibility still depends on vehicle age at start of term.</w:t>
      </w:r>
    </w:p>
    <w:p w14:paraId="2AE9F1C7" w14:textId="2F12BEC9" w:rsidR="006B6E7C" w:rsidRDefault="00000000">
      <w:pPr>
        <w:numPr>
          <w:ilvl w:val="0"/>
          <w:numId w:val="4"/>
        </w:numPr>
        <w:spacing w:before="105" w:after="105" w:line="360" w:lineRule="auto"/>
      </w:pPr>
      <w:r>
        <w:rPr>
          <w:rFonts w:ascii="source serif 4" w:eastAsia="source serif 4" w:hAnsi="source serif 4" w:cs="source serif 4"/>
          <w:color w:val="000000"/>
        </w:rPr>
        <w:t>The wording invites two-step reasoning: first price bucket, then eligibility filter.</w:t>
      </w:r>
    </w:p>
    <w:p w14:paraId="6BED390E" w14:textId="77777777" w:rsidR="006B6E7C" w:rsidRDefault="00000000">
      <w:pPr>
        <w:spacing w:before="315" w:after="105" w:line="360" w:lineRule="auto"/>
        <w:ind w:left="-30"/>
      </w:pPr>
      <w:bookmarkStart w:id="4" w:name="bm_4_tier_and_plus_score_rules_ar_3f60a3"/>
      <w:r>
        <w:rPr>
          <w:rFonts w:ascii="source serif 4" w:eastAsia="source serif 4" w:hAnsi="source serif 4" w:cs="source serif 4"/>
          <w:b/>
          <w:color w:val="000000"/>
          <w:sz w:val="24"/>
        </w:rPr>
        <w:t>4. Tier and Plus score rules are easy to misread</w:t>
      </w:r>
      <w:bookmarkEnd w:id="4"/>
    </w:p>
    <w:p w14:paraId="06B2BF28" w14:textId="67BC996C" w:rsidR="006B6E7C" w:rsidRDefault="00000000">
      <w:pPr>
        <w:spacing w:after="210" w:line="360" w:lineRule="auto"/>
      </w:pPr>
      <w:r>
        <w:rPr>
          <w:rFonts w:ascii="source serif 4" w:eastAsia="source serif 4" w:hAnsi="source serif 4" w:cs="source serif 4"/>
          <w:color w:val="000000"/>
        </w:rPr>
        <w:t>The score row shows Tier 4 at 400 plus 20% deposit, BFS Plus at 400, and then a separate note saying 550 for commercial contracts for used. The auto-decline rule later says applications are declined where all individuals and guarantors are below 400 for consumer and commercial new/demo, or below 550 for commercial used.</w:t>
      </w:r>
    </w:p>
    <w:p w14:paraId="125C18C2" w14:textId="77777777" w:rsidR="006B6E7C" w:rsidRDefault="00000000">
      <w:pPr>
        <w:spacing w:after="210" w:line="360" w:lineRule="auto"/>
      </w:pPr>
      <w:r>
        <w:rPr>
          <w:rFonts w:ascii="source serif 4" w:eastAsia="source serif 4" w:hAnsi="source serif 4" w:cs="source serif 4"/>
          <w:color w:val="000000"/>
        </w:rPr>
        <w:t>Why this is confusing:</w:t>
      </w:r>
    </w:p>
    <w:p w14:paraId="722E78EE" w14:textId="4956A3EB" w:rsidR="006B6E7C" w:rsidRDefault="00000000">
      <w:pPr>
        <w:numPr>
          <w:ilvl w:val="0"/>
          <w:numId w:val="5"/>
        </w:numPr>
        <w:spacing w:before="105" w:after="105" w:line="360" w:lineRule="auto"/>
      </w:pPr>
      <w:r>
        <w:rPr>
          <w:rFonts w:ascii="source serif 4" w:eastAsia="source serif 4" w:hAnsi="source serif 4" w:cs="source serif 4"/>
          <w:color w:val="000000"/>
        </w:rPr>
        <w:t>A model may merge score thresholds, acceptance thresholds and auto-decline thresholds into one rule.</w:t>
      </w:r>
    </w:p>
    <w:p w14:paraId="7BE233F9" w14:textId="1BDB467D" w:rsidR="006B6E7C" w:rsidRDefault="00000000">
      <w:pPr>
        <w:numPr>
          <w:ilvl w:val="0"/>
          <w:numId w:val="5"/>
        </w:numPr>
        <w:spacing w:before="105" w:after="105" w:line="360" w:lineRule="auto"/>
      </w:pPr>
      <w:r>
        <w:rPr>
          <w:rFonts w:ascii="source serif 4" w:eastAsia="source serif 4" w:hAnsi="source serif 4" w:cs="source serif 4"/>
          <w:color w:val="000000"/>
        </w:rPr>
        <w:t>The used commercial 550 threshold looks specific to BFS Plus in one place, but the auto-decline rule sounds broader.</w:t>
      </w:r>
    </w:p>
    <w:p w14:paraId="2FF0DEDB" w14:textId="77777777" w:rsidR="006B6E7C" w:rsidRDefault="00000000">
      <w:pPr>
        <w:spacing w:before="315" w:after="105" w:line="360" w:lineRule="auto"/>
        <w:ind w:left="-30"/>
      </w:pPr>
      <w:bookmarkStart w:id="5" w:name="bm_5_bank_statement_rules_are_spr_61e6ae"/>
      <w:r>
        <w:rPr>
          <w:rFonts w:ascii="source serif 4" w:eastAsia="source serif 4" w:hAnsi="source serif 4" w:cs="source serif 4"/>
          <w:b/>
          <w:color w:val="000000"/>
          <w:sz w:val="24"/>
        </w:rPr>
        <w:t>5. Bank statement rules are spread across sections</w:t>
      </w:r>
      <w:bookmarkEnd w:id="5"/>
    </w:p>
    <w:p w14:paraId="46A233BA" w14:textId="1F4699CA" w:rsidR="006B6E7C" w:rsidRDefault="00000000">
      <w:pPr>
        <w:spacing w:after="210" w:line="360" w:lineRule="auto"/>
      </w:pPr>
      <w:r>
        <w:rPr>
          <w:rFonts w:ascii="source serif 4" w:eastAsia="source serif 4" w:hAnsi="source serif 4" w:cs="source serif 4"/>
          <w:color w:val="000000"/>
        </w:rPr>
        <w:t xml:space="preserve">Page 2 says consumer bank statements are on request only or where required for income evidence, and commercial Full Doc/New Business Ventures under $100,000 use them for income evidence, while </w:t>
      </w:r>
      <w:proofErr w:type="gramStart"/>
      <w:r>
        <w:rPr>
          <w:rFonts w:ascii="source serif 4" w:eastAsia="source serif 4" w:hAnsi="source serif 4" w:cs="source serif 4"/>
          <w:color w:val="000000"/>
        </w:rPr>
        <w:t>Plus</w:t>
      </w:r>
      <w:proofErr w:type="gramEnd"/>
      <w:r>
        <w:rPr>
          <w:rFonts w:ascii="source serif 4" w:eastAsia="source serif 4" w:hAnsi="source serif 4" w:cs="source serif 4"/>
          <w:color w:val="000000"/>
        </w:rPr>
        <w:t xml:space="preserve"> says mandatory. Pages 4 and 5 then repeat that 90 days of bank transaction information are mandatory for all Plus applications under standard documentation requirements.</w:t>
      </w:r>
    </w:p>
    <w:p w14:paraId="57A73AF0" w14:textId="77777777" w:rsidR="006B6E7C" w:rsidRDefault="00000000">
      <w:pPr>
        <w:spacing w:after="210" w:line="360" w:lineRule="auto"/>
      </w:pPr>
      <w:r>
        <w:rPr>
          <w:rFonts w:ascii="source serif 4" w:eastAsia="source serif 4" w:hAnsi="source serif 4" w:cs="source serif 4"/>
          <w:color w:val="000000"/>
        </w:rPr>
        <w:t>Why this is confusing:</w:t>
      </w:r>
    </w:p>
    <w:p w14:paraId="458CF742" w14:textId="72869FFD" w:rsidR="006B6E7C" w:rsidRDefault="00000000">
      <w:pPr>
        <w:numPr>
          <w:ilvl w:val="0"/>
          <w:numId w:val="6"/>
        </w:numPr>
        <w:spacing w:before="105" w:after="105" w:line="360" w:lineRule="auto"/>
      </w:pPr>
      <w:r>
        <w:rPr>
          <w:rFonts w:ascii="source serif 4" w:eastAsia="source serif 4" w:hAnsi="source serif 4" w:cs="source serif 4"/>
          <w:color w:val="000000"/>
        </w:rPr>
        <w:t>The same requirement appears in multiple places with slightly different framing.</w:t>
      </w:r>
    </w:p>
    <w:p w14:paraId="4BF6724C" w14:textId="31B4A34C" w:rsidR="006B6E7C" w:rsidRDefault="00000000">
      <w:pPr>
        <w:numPr>
          <w:ilvl w:val="0"/>
          <w:numId w:val="6"/>
        </w:numPr>
        <w:spacing w:before="105" w:after="105" w:line="360" w:lineRule="auto"/>
      </w:pPr>
      <w:r>
        <w:rPr>
          <w:rFonts w:ascii="source serif 4" w:eastAsia="source serif 4" w:hAnsi="source serif 4" w:cs="source serif 4"/>
          <w:color w:val="000000"/>
        </w:rPr>
        <w:t xml:space="preserve">A model may </w:t>
      </w:r>
      <w:proofErr w:type="spellStart"/>
      <w:r>
        <w:rPr>
          <w:rFonts w:ascii="source serif 4" w:eastAsia="source serif 4" w:hAnsi="source serif 4" w:cs="source serif 4"/>
          <w:color w:val="000000"/>
        </w:rPr>
        <w:t>overgeneralise</w:t>
      </w:r>
      <w:proofErr w:type="spellEnd"/>
      <w:r>
        <w:rPr>
          <w:rFonts w:ascii="source serif 4" w:eastAsia="source serif 4" w:hAnsi="source serif 4" w:cs="source serif 4"/>
          <w:color w:val="000000"/>
        </w:rPr>
        <w:t xml:space="preserve"> and say bank statements are mandatory for every application.</w:t>
      </w:r>
    </w:p>
    <w:p w14:paraId="488BA6D9" w14:textId="77777777" w:rsidR="006B6E7C" w:rsidRDefault="00000000">
      <w:pPr>
        <w:spacing w:before="315" w:after="105" w:line="360" w:lineRule="auto"/>
        <w:ind w:left="-30"/>
      </w:pPr>
      <w:bookmarkStart w:id="6" w:name="bm_6_vehicle_types_versus_extra_a_2d3f85"/>
      <w:r>
        <w:rPr>
          <w:rFonts w:ascii="source serif 4" w:eastAsia="source serif 4" w:hAnsi="source serif 4" w:cs="source serif 4"/>
          <w:b/>
          <w:color w:val="000000"/>
          <w:sz w:val="24"/>
        </w:rPr>
        <w:t>6. Vehicle types versus extra asset rules are not all in one place</w:t>
      </w:r>
      <w:bookmarkEnd w:id="6"/>
    </w:p>
    <w:p w14:paraId="308CB97C" w14:textId="0C19B1F8" w:rsidR="006B6E7C" w:rsidRDefault="00000000">
      <w:pPr>
        <w:spacing w:after="210" w:line="360" w:lineRule="auto"/>
      </w:pPr>
      <w:r>
        <w:rPr>
          <w:rFonts w:ascii="source serif 4" w:eastAsia="source serif 4" w:hAnsi="source serif 4" w:cs="source serif 4"/>
          <w:color w:val="000000"/>
        </w:rPr>
        <w:lastRenderedPageBreak/>
        <w:t>Page 2 says Prime includes motorcycles, motorhomes, campervans, caravans and camper trailers. Page 3 then adds separate special conditions for motorcycles and for caravans/campervans/camper trailers, including term limits, no balloons for motorcycles, leisure-only caravan use, and accountant confirmation for commercial use.</w:t>
      </w:r>
    </w:p>
    <w:p w14:paraId="21B49E0B" w14:textId="77777777" w:rsidR="006B6E7C" w:rsidRDefault="00000000">
      <w:pPr>
        <w:spacing w:after="210" w:line="360" w:lineRule="auto"/>
      </w:pPr>
      <w:r>
        <w:rPr>
          <w:rFonts w:ascii="source serif 4" w:eastAsia="source serif 4" w:hAnsi="source serif 4" w:cs="source serif 4"/>
          <w:color w:val="000000"/>
        </w:rPr>
        <w:t>Why this is confusing:</w:t>
      </w:r>
    </w:p>
    <w:p w14:paraId="291FD73A" w14:textId="50CD3A9A" w:rsidR="006B6E7C" w:rsidRDefault="00000000">
      <w:pPr>
        <w:numPr>
          <w:ilvl w:val="0"/>
          <w:numId w:val="7"/>
        </w:numPr>
        <w:spacing w:before="105" w:after="105" w:line="360" w:lineRule="auto"/>
      </w:pPr>
      <w:r>
        <w:rPr>
          <w:rFonts w:ascii="source serif 4" w:eastAsia="source serif 4" w:hAnsi="source serif 4" w:cs="source serif 4"/>
          <w:color w:val="000000"/>
        </w:rPr>
        <w:t>A model might stop at the vehicle-type table and miss the stricter follow-on conditions.</w:t>
      </w:r>
    </w:p>
    <w:p w14:paraId="45908DA2" w14:textId="6C4E1908" w:rsidR="006B6E7C" w:rsidRDefault="00000000">
      <w:pPr>
        <w:numPr>
          <w:ilvl w:val="0"/>
          <w:numId w:val="7"/>
        </w:numPr>
        <w:spacing w:before="105" w:after="105" w:line="360" w:lineRule="auto"/>
      </w:pPr>
      <w:r>
        <w:rPr>
          <w:rFonts w:ascii="source serif 4" w:eastAsia="source serif 4" w:hAnsi="source serif 4" w:cs="source serif 4"/>
          <w:color w:val="000000"/>
        </w:rPr>
        <w:t>“Allowed vehicle type” does not automatically mean “standard policy treatment.”</w:t>
      </w:r>
    </w:p>
    <w:p w14:paraId="55965738" w14:textId="77777777" w:rsidR="006B6E7C" w:rsidRDefault="00000000">
      <w:pPr>
        <w:spacing w:before="315" w:after="105" w:line="360" w:lineRule="auto"/>
        <w:ind w:left="-30"/>
      </w:pPr>
      <w:bookmarkStart w:id="7" w:name="bm_7_balloons_look_broad_at_first_d3c6b5"/>
      <w:r>
        <w:rPr>
          <w:rFonts w:ascii="source serif 4" w:eastAsia="source serif 4" w:hAnsi="source serif 4" w:cs="source serif 4"/>
          <w:b/>
          <w:color w:val="000000"/>
          <w:sz w:val="24"/>
        </w:rPr>
        <w:t>7. Balloons look broad at first, but are tightly limited</w:t>
      </w:r>
      <w:bookmarkEnd w:id="7"/>
    </w:p>
    <w:p w14:paraId="039CD13F" w14:textId="63922BEB" w:rsidR="006B6E7C" w:rsidRDefault="00000000">
      <w:pPr>
        <w:spacing w:after="210" w:line="360" w:lineRule="auto"/>
      </w:pPr>
      <w:r>
        <w:rPr>
          <w:rFonts w:ascii="source serif 4" w:eastAsia="source serif 4" w:hAnsi="source serif 4" w:cs="source serif 4"/>
          <w:color w:val="000000"/>
        </w:rPr>
        <w:t>The balloon section says commercial only, excluding couriers and ride-share, and only shows balloon percentages for vehicles aged 0 to 3 years and 3 to 5 years. The motorcycle section separately says maximum term 60 months and no balloons.</w:t>
      </w:r>
    </w:p>
    <w:p w14:paraId="3213FF75" w14:textId="77777777" w:rsidR="006B6E7C" w:rsidRDefault="00000000">
      <w:pPr>
        <w:spacing w:after="210" w:line="360" w:lineRule="auto"/>
      </w:pPr>
      <w:r>
        <w:rPr>
          <w:rFonts w:ascii="source serif 4" w:eastAsia="source serif 4" w:hAnsi="source serif 4" w:cs="source serif 4"/>
          <w:color w:val="000000"/>
        </w:rPr>
        <w:t>Why this is confusing:</w:t>
      </w:r>
    </w:p>
    <w:p w14:paraId="443BED5E" w14:textId="79ABB6BA" w:rsidR="006B6E7C" w:rsidRDefault="00000000">
      <w:pPr>
        <w:numPr>
          <w:ilvl w:val="0"/>
          <w:numId w:val="8"/>
        </w:numPr>
        <w:spacing w:before="105" w:after="105" w:line="360" w:lineRule="auto"/>
      </w:pPr>
      <w:r>
        <w:rPr>
          <w:rFonts w:ascii="source serif 4" w:eastAsia="source serif 4" w:hAnsi="source serif 4" w:cs="source serif 4"/>
          <w:color w:val="000000"/>
        </w:rPr>
        <w:t>A model may read the balloon table first and mistakenly allow balloons on all commercial assets.</w:t>
      </w:r>
    </w:p>
    <w:p w14:paraId="4A0DFC06" w14:textId="4B8DEE0A" w:rsidR="006B6E7C" w:rsidRDefault="00000000">
      <w:pPr>
        <w:numPr>
          <w:ilvl w:val="0"/>
          <w:numId w:val="8"/>
        </w:numPr>
        <w:spacing w:before="105" w:after="105" w:line="360" w:lineRule="auto"/>
      </w:pPr>
      <w:r>
        <w:rPr>
          <w:rFonts w:ascii="source serif 4" w:eastAsia="source serif 4" w:hAnsi="source serif 4" w:cs="source serif 4"/>
          <w:color w:val="000000"/>
        </w:rPr>
        <w:t>The no-balloon motorcycle rule is easy to miss because it sits in a later exception block.</w:t>
      </w:r>
    </w:p>
    <w:p w14:paraId="158A59F5" w14:textId="77777777" w:rsidR="006B6E7C" w:rsidRDefault="00000000">
      <w:pPr>
        <w:spacing w:before="315" w:after="105" w:line="360" w:lineRule="auto"/>
        <w:ind w:left="-30"/>
      </w:pPr>
      <w:bookmarkStart w:id="8" w:name="bm_8_non_resident_visa_holder_rul_53d325"/>
      <w:r>
        <w:rPr>
          <w:rFonts w:ascii="source serif 4" w:eastAsia="source serif 4" w:hAnsi="source serif 4" w:cs="source serif 4"/>
          <w:b/>
          <w:color w:val="000000"/>
          <w:sz w:val="24"/>
        </w:rPr>
        <w:t>8. Non-resident visa holder rules differ by product family</w:t>
      </w:r>
      <w:bookmarkEnd w:id="8"/>
    </w:p>
    <w:p w14:paraId="77A9D56E" w14:textId="3BA5FE2B" w:rsidR="006B6E7C" w:rsidRDefault="00000000">
      <w:pPr>
        <w:spacing w:after="210" w:line="360" w:lineRule="auto"/>
      </w:pPr>
      <w:r>
        <w:rPr>
          <w:rFonts w:ascii="source serif 4" w:eastAsia="source serif 4" w:hAnsi="source serif 4" w:cs="source serif 4"/>
          <w:color w:val="000000"/>
        </w:rPr>
        <w:t xml:space="preserve">Prime requires minimum income of $100,000 for non-resident visa holders and says low doc is not available. BFS Plus requires minimum income of $50,000 </w:t>
      </w:r>
      <w:proofErr w:type="gramStart"/>
      <w:r>
        <w:rPr>
          <w:rFonts w:ascii="source serif 4" w:eastAsia="source serif 4" w:hAnsi="source serif 4" w:cs="source serif 4"/>
          <w:color w:val="000000"/>
        </w:rPr>
        <w:t>and also</w:t>
      </w:r>
      <w:proofErr w:type="gramEnd"/>
      <w:r>
        <w:rPr>
          <w:rFonts w:ascii="source serif 4" w:eastAsia="source serif 4" w:hAnsi="source serif 4" w:cs="source serif 4"/>
          <w:color w:val="000000"/>
        </w:rPr>
        <w:t xml:space="preserve"> requires the loan to end one month before visa expiry.</w:t>
      </w:r>
    </w:p>
    <w:p w14:paraId="496DDD76" w14:textId="77777777" w:rsidR="006B6E7C" w:rsidRDefault="00000000">
      <w:pPr>
        <w:spacing w:after="210" w:line="360" w:lineRule="auto"/>
      </w:pPr>
      <w:r>
        <w:rPr>
          <w:rFonts w:ascii="source serif 4" w:eastAsia="source serif 4" w:hAnsi="source serif 4" w:cs="source serif 4"/>
          <w:color w:val="000000"/>
        </w:rPr>
        <w:t>Why this is confusing:</w:t>
      </w:r>
    </w:p>
    <w:p w14:paraId="16D5E57D" w14:textId="6A147FC6" w:rsidR="006B6E7C" w:rsidRDefault="00000000">
      <w:pPr>
        <w:numPr>
          <w:ilvl w:val="0"/>
          <w:numId w:val="9"/>
        </w:numPr>
        <w:spacing w:before="105" w:after="105" w:line="360" w:lineRule="auto"/>
      </w:pPr>
      <w:r>
        <w:rPr>
          <w:rFonts w:ascii="source serif 4" w:eastAsia="source serif 4" w:hAnsi="source serif 4" w:cs="source serif 4"/>
          <w:color w:val="000000"/>
        </w:rPr>
        <w:t>A model may report a single visa-holder income threshold for the whole guide.</w:t>
      </w:r>
    </w:p>
    <w:p w14:paraId="26D1BC49" w14:textId="2F76CC10" w:rsidR="006B6E7C" w:rsidRDefault="00000000">
      <w:pPr>
        <w:numPr>
          <w:ilvl w:val="0"/>
          <w:numId w:val="9"/>
        </w:numPr>
        <w:spacing w:before="105" w:after="105" w:line="360" w:lineRule="auto"/>
      </w:pPr>
      <w:r>
        <w:rPr>
          <w:rFonts w:ascii="source serif 4" w:eastAsia="source serif 4" w:hAnsi="source serif 4" w:cs="source serif 4"/>
          <w:color w:val="000000"/>
        </w:rPr>
        <w:t>The low-doc exclusion is stated in the Prime rule but not repeated in the BFS Plus wording.</w:t>
      </w:r>
    </w:p>
    <w:p w14:paraId="5731081F" w14:textId="77777777" w:rsidR="006B6E7C" w:rsidRDefault="00000000">
      <w:pPr>
        <w:spacing w:before="315" w:after="105" w:line="360" w:lineRule="auto"/>
        <w:ind w:left="-30"/>
      </w:pPr>
      <w:bookmarkStart w:id="9" w:name="bm_9_some_operational_requirement_bf7327"/>
      <w:r>
        <w:rPr>
          <w:rFonts w:ascii="source serif 4" w:eastAsia="source serif 4" w:hAnsi="source serif 4" w:cs="source serif 4"/>
          <w:b/>
          <w:color w:val="000000"/>
          <w:sz w:val="24"/>
        </w:rPr>
        <w:t>9. Some operational requirements rely on other documents</w:t>
      </w:r>
      <w:bookmarkEnd w:id="9"/>
    </w:p>
    <w:p w14:paraId="0F1171AB" w14:textId="5C20530D" w:rsidR="006B6E7C" w:rsidRDefault="00000000">
      <w:pPr>
        <w:spacing w:after="210" w:line="360" w:lineRule="auto"/>
      </w:pPr>
      <w:r>
        <w:rPr>
          <w:rFonts w:ascii="source serif 4" w:eastAsia="source serif 4" w:hAnsi="source serif 4" w:cs="source serif 4"/>
          <w:color w:val="000000"/>
        </w:rPr>
        <w:t xml:space="preserve">The guide refers users to </w:t>
      </w:r>
      <w:proofErr w:type="spellStart"/>
      <w:r>
        <w:rPr>
          <w:rFonts w:ascii="source serif 4" w:eastAsia="source serif 4" w:hAnsi="source serif 4" w:cs="source serif 4"/>
          <w:color w:val="000000"/>
        </w:rPr>
        <w:t>QuickSell</w:t>
      </w:r>
      <w:proofErr w:type="spellEnd"/>
      <w:r>
        <w:rPr>
          <w:rFonts w:ascii="source serif 4" w:eastAsia="source serif 4" w:hAnsi="source serif 4" w:cs="source serif 4"/>
          <w:color w:val="000000"/>
        </w:rPr>
        <w:t xml:space="preserve"> for the latest version, to a private sale requirements document, to a Business Customer Financial Declaration in the </w:t>
      </w:r>
      <w:proofErr w:type="spellStart"/>
      <w:r>
        <w:rPr>
          <w:rFonts w:ascii="source serif 4" w:eastAsia="source serif 4" w:hAnsi="source serif 4" w:cs="source serif 4"/>
          <w:color w:val="000000"/>
        </w:rPr>
        <w:t>QuickSell</w:t>
      </w:r>
      <w:proofErr w:type="spellEnd"/>
      <w:r>
        <w:rPr>
          <w:rFonts w:ascii="source serif 4" w:eastAsia="source serif 4" w:hAnsi="source serif 4" w:cs="source serif 4"/>
          <w:color w:val="000000"/>
        </w:rPr>
        <w:t xml:space="preserve"> library, and to a brokerage calculator in the </w:t>
      </w:r>
      <w:proofErr w:type="spellStart"/>
      <w:r>
        <w:rPr>
          <w:rFonts w:ascii="source serif 4" w:eastAsia="source serif 4" w:hAnsi="source serif 4" w:cs="source serif 4"/>
          <w:color w:val="000000"/>
        </w:rPr>
        <w:t>QuickSell</w:t>
      </w:r>
      <w:proofErr w:type="spellEnd"/>
      <w:r>
        <w:rPr>
          <w:rFonts w:ascii="source serif 4" w:eastAsia="source serif 4" w:hAnsi="source serif 4" w:cs="source serif 4"/>
          <w:color w:val="000000"/>
        </w:rPr>
        <w:t xml:space="preserve"> documents library. It also says for scenarios outside criteria, contact the BDM.</w:t>
      </w:r>
    </w:p>
    <w:p w14:paraId="2B426FE2" w14:textId="77777777" w:rsidR="006B6E7C" w:rsidRDefault="00000000">
      <w:pPr>
        <w:spacing w:after="210" w:line="360" w:lineRule="auto"/>
      </w:pPr>
      <w:r>
        <w:rPr>
          <w:rFonts w:ascii="source serif 4" w:eastAsia="source serif 4" w:hAnsi="source serif 4" w:cs="source serif 4"/>
          <w:color w:val="000000"/>
        </w:rPr>
        <w:t>Why this is confusing:</w:t>
      </w:r>
    </w:p>
    <w:p w14:paraId="2ECB04DF" w14:textId="5F1EFEF3" w:rsidR="006B6E7C" w:rsidRDefault="00000000">
      <w:pPr>
        <w:numPr>
          <w:ilvl w:val="0"/>
          <w:numId w:val="10"/>
        </w:numPr>
        <w:spacing w:before="105" w:after="105" w:line="360" w:lineRule="auto"/>
      </w:pPr>
      <w:r>
        <w:rPr>
          <w:rFonts w:ascii="source serif 4" w:eastAsia="source serif 4" w:hAnsi="source serif 4" w:cs="source serif 4"/>
          <w:color w:val="000000"/>
        </w:rPr>
        <w:lastRenderedPageBreak/>
        <w:t>The document is not fully self-contained.</w:t>
      </w:r>
    </w:p>
    <w:p w14:paraId="3D86BBB3" w14:textId="43279954" w:rsidR="006B6E7C" w:rsidRDefault="00000000">
      <w:pPr>
        <w:numPr>
          <w:ilvl w:val="0"/>
          <w:numId w:val="10"/>
        </w:numPr>
        <w:spacing w:before="105" w:after="105" w:line="360" w:lineRule="auto"/>
      </w:pPr>
      <w:r>
        <w:rPr>
          <w:rFonts w:ascii="source serif 4" w:eastAsia="source serif 4" w:hAnsi="source serif 4" w:cs="source serif 4"/>
          <w:color w:val="000000"/>
        </w:rPr>
        <w:t>A model trained only on this PDF may answer with false certainty where the guide itself signals that another document controls the final position.</w:t>
      </w:r>
    </w:p>
    <w:p w14:paraId="74DB8FF3" w14:textId="77777777" w:rsidR="006B6E7C" w:rsidRDefault="00000000">
      <w:pPr>
        <w:spacing w:before="315" w:after="105" w:line="360" w:lineRule="auto"/>
        <w:ind w:left="-30"/>
      </w:pPr>
      <w:bookmarkStart w:id="10" w:name="bm_10_maximum_rate_and_discount_w_d89b48"/>
      <w:r>
        <w:rPr>
          <w:rFonts w:ascii="source serif 4" w:eastAsia="source serif 4" w:hAnsi="source serif 4" w:cs="source serif 4"/>
          <w:b/>
          <w:color w:val="000000"/>
          <w:sz w:val="24"/>
        </w:rPr>
        <w:t>10. “Maximum rate” and discount wording need careful reading</w:t>
      </w:r>
      <w:bookmarkEnd w:id="10"/>
    </w:p>
    <w:p w14:paraId="262E59E3" w14:textId="55101C3B" w:rsidR="006B6E7C" w:rsidRDefault="00000000">
      <w:pPr>
        <w:spacing w:after="210" w:line="360" w:lineRule="auto"/>
      </w:pPr>
      <w:r>
        <w:rPr>
          <w:rFonts w:ascii="source serif 4" w:eastAsia="source serif 4" w:hAnsi="source serif 4" w:cs="source serif 4"/>
          <w:color w:val="000000"/>
        </w:rPr>
        <w:t>The guide says a discount of up to 2% may be applied to the maximum rate. It does not say that every applicant automatically receives that discount, and it does not explain in this guide how the actual customer rate is set within the range.</w:t>
      </w:r>
    </w:p>
    <w:p w14:paraId="5B3B0FA3" w14:textId="77777777" w:rsidR="006B6E7C" w:rsidRDefault="00000000">
      <w:pPr>
        <w:spacing w:after="210" w:line="360" w:lineRule="auto"/>
      </w:pPr>
      <w:r>
        <w:rPr>
          <w:rFonts w:ascii="source serif 4" w:eastAsia="source serif 4" w:hAnsi="source serif 4" w:cs="source serif 4"/>
          <w:color w:val="000000"/>
        </w:rPr>
        <w:t>Why this is confusing:</w:t>
      </w:r>
    </w:p>
    <w:p w14:paraId="03D3C692" w14:textId="6617F758" w:rsidR="006B6E7C" w:rsidRDefault="00000000">
      <w:pPr>
        <w:numPr>
          <w:ilvl w:val="0"/>
          <w:numId w:val="11"/>
        </w:numPr>
        <w:spacing w:before="105" w:after="105" w:line="360" w:lineRule="auto"/>
      </w:pPr>
      <w:r>
        <w:rPr>
          <w:rFonts w:ascii="source serif 4" w:eastAsia="source serif 4" w:hAnsi="source serif 4" w:cs="source serif 4"/>
          <w:color w:val="000000"/>
        </w:rPr>
        <w:t>A model may quote a discounted rate as if it were the standard contractual rate.</w:t>
      </w:r>
    </w:p>
    <w:p w14:paraId="6E758728" w14:textId="4078EB19" w:rsidR="006B6E7C" w:rsidRDefault="00000000">
      <w:pPr>
        <w:numPr>
          <w:ilvl w:val="0"/>
          <w:numId w:val="11"/>
        </w:numPr>
        <w:spacing w:before="105" w:after="105" w:line="360" w:lineRule="auto"/>
      </w:pPr>
      <w:r>
        <w:rPr>
          <w:rFonts w:ascii="source serif 4" w:eastAsia="source serif 4" w:hAnsi="source serif 4" w:cs="source serif 4"/>
          <w:color w:val="000000"/>
        </w:rPr>
        <w:t>The guide provides ceilings and adjustments, but not a full decision rule for final pricing.</w:t>
      </w:r>
    </w:p>
    <w:p w14:paraId="2DCF0B9C" w14:textId="77777777" w:rsidR="006B6E7C" w:rsidRDefault="00000000">
      <w:pPr>
        <w:spacing w:before="315" w:after="105" w:line="360" w:lineRule="auto"/>
        <w:ind w:left="-30"/>
      </w:pPr>
      <w:bookmarkStart w:id="11" w:name="bm_11_low_doc_full_doc_and_new_bu_9e6181"/>
      <w:r>
        <w:rPr>
          <w:rFonts w:ascii="source serif 4" w:eastAsia="source serif 4" w:hAnsi="source serif 4" w:cs="source serif 4"/>
          <w:b/>
          <w:color w:val="000000"/>
          <w:sz w:val="24"/>
        </w:rPr>
        <w:t>11. Low doc, full doc and new business ventures overlap with other rules</w:t>
      </w:r>
      <w:bookmarkEnd w:id="11"/>
    </w:p>
    <w:p w14:paraId="7AFD1FBB" w14:textId="1DF24488" w:rsidR="006B6E7C" w:rsidRDefault="00000000">
      <w:pPr>
        <w:spacing w:after="210" w:line="360" w:lineRule="auto"/>
      </w:pPr>
      <w:r>
        <w:rPr>
          <w:rFonts w:ascii="source serif 4" w:eastAsia="source serif 4" w:hAnsi="source serif 4" w:cs="source serif 4"/>
          <w:color w:val="000000"/>
        </w:rPr>
        <w:t>Commercial lending documentation on page 4 sets separate rules by documentation type, tier access, trading history, deposit and income evidence. Those rules sit on top of the broader tier, vehicle, score and residency rules from earlier pages.</w:t>
      </w:r>
    </w:p>
    <w:p w14:paraId="5BB754C0" w14:textId="77777777" w:rsidR="006B6E7C" w:rsidRDefault="00000000">
      <w:pPr>
        <w:spacing w:after="210" w:line="360" w:lineRule="auto"/>
      </w:pPr>
      <w:r>
        <w:rPr>
          <w:rFonts w:ascii="source serif 4" w:eastAsia="source serif 4" w:hAnsi="source serif 4" w:cs="source serif 4"/>
          <w:color w:val="000000"/>
        </w:rPr>
        <w:t>Why this is confusing:</w:t>
      </w:r>
    </w:p>
    <w:p w14:paraId="233B2158" w14:textId="723BE341" w:rsidR="006B6E7C" w:rsidRDefault="00000000">
      <w:pPr>
        <w:numPr>
          <w:ilvl w:val="0"/>
          <w:numId w:val="12"/>
        </w:numPr>
        <w:spacing w:before="105" w:after="105" w:line="360" w:lineRule="auto"/>
      </w:pPr>
      <w:r>
        <w:rPr>
          <w:rFonts w:ascii="source serif 4" w:eastAsia="source serif 4" w:hAnsi="source serif 4" w:cs="source serif 4"/>
          <w:color w:val="000000"/>
        </w:rPr>
        <w:t>A model may answer using only the documentation table and ignore the product-level restrictions.</w:t>
      </w:r>
    </w:p>
    <w:p w14:paraId="2E7AED69" w14:textId="7E8A2A3F" w:rsidR="006B6E7C" w:rsidRDefault="00000000">
      <w:pPr>
        <w:numPr>
          <w:ilvl w:val="0"/>
          <w:numId w:val="12"/>
        </w:numPr>
        <w:spacing w:before="105" w:after="105" w:line="360" w:lineRule="auto"/>
      </w:pPr>
      <w:r>
        <w:rPr>
          <w:rFonts w:ascii="source serif 4" w:eastAsia="source serif 4" w:hAnsi="source serif 4" w:cs="source serif 4"/>
          <w:color w:val="000000"/>
        </w:rPr>
        <w:t>The policy requires layered reading rather than one-table extraction.</w:t>
      </w:r>
    </w:p>
    <w:p w14:paraId="3CF290B7" w14:textId="77777777" w:rsidR="006B6E7C" w:rsidRDefault="00000000">
      <w:pPr>
        <w:spacing w:before="315" w:after="105" w:line="360" w:lineRule="auto"/>
        <w:ind w:left="-30"/>
      </w:pPr>
      <w:bookmarkStart w:id="12" w:name="working_rule_for_internal_model_use"/>
      <w:r>
        <w:rPr>
          <w:rFonts w:ascii="source serif 4" w:eastAsia="source serif 4" w:hAnsi="source serif 4" w:cs="source serif 4"/>
          <w:b/>
          <w:color w:val="000000"/>
          <w:sz w:val="24"/>
        </w:rPr>
        <w:t>Working rule for internal model use</w:t>
      </w:r>
      <w:bookmarkEnd w:id="12"/>
    </w:p>
    <w:p w14:paraId="40A67F77" w14:textId="797CFF76" w:rsidR="006B6E7C" w:rsidRDefault="00000000">
      <w:pPr>
        <w:spacing w:after="210" w:line="360" w:lineRule="auto"/>
      </w:pPr>
      <w:r>
        <w:rPr>
          <w:rFonts w:ascii="source serif 4" w:eastAsia="source serif 4" w:hAnsi="source serif 4" w:cs="source serif 4"/>
          <w:color w:val="000000"/>
        </w:rPr>
        <w:t xml:space="preserve">A safer model </w:t>
      </w:r>
      <w:proofErr w:type="spellStart"/>
      <w:r>
        <w:rPr>
          <w:rFonts w:ascii="source serif 4" w:eastAsia="source serif 4" w:hAnsi="source serif 4" w:cs="source serif 4"/>
          <w:color w:val="000000"/>
        </w:rPr>
        <w:t>behaviour</w:t>
      </w:r>
      <w:proofErr w:type="spellEnd"/>
      <w:r>
        <w:rPr>
          <w:rFonts w:ascii="source serif 4" w:eastAsia="source serif 4" w:hAnsi="source serif 4" w:cs="source serif 4"/>
          <w:color w:val="000000"/>
        </w:rPr>
        <w:t xml:space="preserve"> would </w:t>
      </w:r>
      <w:proofErr w:type="gramStart"/>
      <w:r>
        <w:rPr>
          <w:rFonts w:ascii="source serif 4" w:eastAsia="source serif 4" w:hAnsi="source serif 4" w:cs="source serif 4"/>
          <w:color w:val="000000"/>
        </w:rPr>
        <w:t>be:</w:t>
      </w:r>
      <w:proofErr w:type="gramEnd"/>
      <w:r>
        <w:rPr>
          <w:rFonts w:ascii="source serif 4" w:eastAsia="source serif 4" w:hAnsi="source serif 4" w:cs="source serif 4"/>
          <w:color w:val="000000"/>
        </w:rPr>
        <w:t xml:space="preserve"> identify product family first, then loan purpose, then borrower type, then vehicle type, then vehicle age and term, then pricing bucket, then loadings, then documentation requirements, and finally check for exceptions and external-document references. For classic-car questions in particular, the model should state that no classic-car definition or dedicated rate appears in this guide.</w:t>
      </w:r>
    </w:p>
    <w:sectPr w:rsidR="006B6E7C">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source serif 4">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4C19"/>
    <w:multiLevelType w:val="hybridMultilevel"/>
    <w:tmpl w:val="4B86E294"/>
    <w:lvl w:ilvl="0" w:tplc="F51AADC0">
      <w:start w:val="1"/>
      <w:numFmt w:val="bullet"/>
      <w:lvlText w:val=""/>
      <w:lvlJc w:val="left"/>
      <w:pPr>
        <w:tabs>
          <w:tab w:val="num" w:pos="900"/>
        </w:tabs>
        <w:ind w:left="540" w:hanging="360"/>
      </w:pPr>
      <w:rPr>
        <w:rFonts w:ascii="Symbol" w:hAnsi="Symbol" w:hint="default"/>
      </w:rPr>
    </w:lvl>
    <w:lvl w:ilvl="1" w:tplc="1E342948">
      <w:numFmt w:val="decimal"/>
      <w:lvlText w:val=""/>
      <w:lvlJc w:val="left"/>
    </w:lvl>
    <w:lvl w:ilvl="2" w:tplc="0BBEB21A">
      <w:numFmt w:val="decimal"/>
      <w:lvlText w:val=""/>
      <w:lvlJc w:val="left"/>
    </w:lvl>
    <w:lvl w:ilvl="3" w:tplc="00A659A8">
      <w:numFmt w:val="decimal"/>
      <w:lvlText w:val=""/>
      <w:lvlJc w:val="left"/>
    </w:lvl>
    <w:lvl w:ilvl="4" w:tplc="13D67FF2">
      <w:numFmt w:val="decimal"/>
      <w:lvlText w:val=""/>
      <w:lvlJc w:val="left"/>
    </w:lvl>
    <w:lvl w:ilvl="5" w:tplc="F2487174">
      <w:numFmt w:val="decimal"/>
      <w:lvlText w:val=""/>
      <w:lvlJc w:val="left"/>
    </w:lvl>
    <w:lvl w:ilvl="6" w:tplc="E34689EC">
      <w:numFmt w:val="decimal"/>
      <w:lvlText w:val=""/>
      <w:lvlJc w:val="left"/>
    </w:lvl>
    <w:lvl w:ilvl="7" w:tplc="841CC4B8">
      <w:numFmt w:val="decimal"/>
      <w:lvlText w:val=""/>
      <w:lvlJc w:val="left"/>
    </w:lvl>
    <w:lvl w:ilvl="8" w:tplc="5AF008E0">
      <w:numFmt w:val="decimal"/>
      <w:lvlText w:val=""/>
      <w:lvlJc w:val="left"/>
    </w:lvl>
  </w:abstractNum>
  <w:abstractNum w:abstractNumId="1" w15:restartNumberingAfterBreak="0">
    <w:nsid w:val="07243070"/>
    <w:multiLevelType w:val="hybridMultilevel"/>
    <w:tmpl w:val="EB7C7EAA"/>
    <w:lvl w:ilvl="0" w:tplc="9FD8D268">
      <w:start w:val="1"/>
      <w:numFmt w:val="bullet"/>
      <w:lvlText w:val=""/>
      <w:lvlJc w:val="left"/>
      <w:pPr>
        <w:tabs>
          <w:tab w:val="num" w:pos="900"/>
        </w:tabs>
        <w:ind w:left="540" w:hanging="360"/>
      </w:pPr>
      <w:rPr>
        <w:rFonts w:ascii="Symbol" w:hAnsi="Symbol" w:hint="default"/>
      </w:rPr>
    </w:lvl>
    <w:lvl w:ilvl="1" w:tplc="90AEDE6E">
      <w:numFmt w:val="decimal"/>
      <w:lvlText w:val=""/>
      <w:lvlJc w:val="left"/>
    </w:lvl>
    <w:lvl w:ilvl="2" w:tplc="E7065ED6">
      <w:numFmt w:val="decimal"/>
      <w:lvlText w:val=""/>
      <w:lvlJc w:val="left"/>
    </w:lvl>
    <w:lvl w:ilvl="3" w:tplc="8CEE043C">
      <w:numFmt w:val="decimal"/>
      <w:lvlText w:val=""/>
      <w:lvlJc w:val="left"/>
    </w:lvl>
    <w:lvl w:ilvl="4" w:tplc="F5C42C4A">
      <w:numFmt w:val="decimal"/>
      <w:lvlText w:val=""/>
      <w:lvlJc w:val="left"/>
    </w:lvl>
    <w:lvl w:ilvl="5" w:tplc="82069A42">
      <w:numFmt w:val="decimal"/>
      <w:lvlText w:val=""/>
      <w:lvlJc w:val="left"/>
    </w:lvl>
    <w:lvl w:ilvl="6" w:tplc="863290B6">
      <w:numFmt w:val="decimal"/>
      <w:lvlText w:val=""/>
      <w:lvlJc w:val="left"/>
    </w:lvl>
    <w:lvl w:ilvl="7" w:tplc="2ED04F7E">
      <w:numFmt w:val="decimal"/>
      <w:lvlText w:val=""/>
      <w:lvlJc w:val="left"/>
    </w:lvl>
    <w:lvl w:ilvl="8" w:tplc="07F223D0">
      <w:numFmt w:val="decimal"/>
      <w:lvlText w:val=""/>
      <w:lvlJc w:val="left"/>
    </w:lvl>
  </w:abstractNum>
  <w:abstractNum w:abstractNumId="2" w15:restartNumberingAfterBreak="0">
    <w:nsid w:val="0D9B32F1"/>
    <w:multiLevelType w:val="hybridMultilevel"/>
    <w:tmpl w:val="0D8AE362"/>
    <w:lvl w:ilvl="0" w:tplc="ACCEC878">
      <w:start w:val="1"/>
      <w:numFmt w:val="bullet"/>
      <w:lvlText w:val=""/>
      <w:lvlJc w:val="left"/>
      <w:pPr>
        <w:tabs>
          <w:tab w:val="num" w:pos="900"/>
        </w:tabs>
        <w:ind w:left="540" w:hanging="360"/>
      </w:pPr>
      <w:rPr>
        <w:rFonts w:ascii="Symbol" w:hAnsi="Symbol" w:hint="default"/>
      </w:rPr>
    </w:lvl>
    <w:lvl w:ilvl="1" w:tplc="4B881DA6">
      <w:numFmt w:val="decimal"/>
      <w:lvlText w:val=""/>
      <w:lvlJc w:val="left"/>
    </w:lvl>
    <w:lvl w:ilvl="2" w:tplc="BED699FA">
      <w:numFmt w:val="decimal"/>
      <w:lvlText w:val=""/>
      <w:lvlJc w:val="left"/>
    </w:lvl>
    <w:lvl w:ilvl="3" w:tplc="82D23B22">
      <w:numFmt w:val="decimal"/>
      <w:lvlText w:val=""/>
      <w:lvlJc w:val="left"/>
    </w:lvl>
    <w:lvl w:ilvl="4" w:tplc="D33089DA">
      <w:numFmt w:val="decimal"/>
      <w:lvlText w:val=""/>
      <w:lvlJc w:val="left"/>
    </w:lvl>
    <w:lvl w:ilvl="5" w:tplc="05CCC794">
      <w:numFmt w:val="decimal"/>
      <w:lvlText w:val=""/>
      <w:lvlJc w:val="left"/>
    </w:lvl>
    <w:lvl w:ilvl="6" w:tplc="F238E95C">
      <w:numFmt w:val="decimal"/>
      <w:lvlText w:val=""/>
      <w:lvlJc w:val="left"/>
    </w:lvl>
    <w:lvl w:ilvl="7" w:tplc="04929650">
      <w:numFmt w:val="decimal"/>
      <w:lvlText w:val=""/>
      <w:lvlJc w:val="left"/>
    </w:lvl>
    <w:lvl w:ilvl="8" w:tplc="2258049E">
      <w:numFmt w:val="decimal"/>
      <w:lvlText w:val=""/>
      <w:lvlJc w:val="left"/>
    </w:lvl>
  </w:abstractNum>
  <w:abstractNum w:abstractNumId="3" w15:restartNumberingAfterBreak="0">
    <w:nsid w:val="204B1300"/>
    <w:multiLevelType w:val="hybridMultilevel"/>
    <w:tmpl w:val="244AB61E"/>
    <w:lvl w:ilvl="0" w:tplc="13FAD586">
      <w:start w:val="1"/>
      <w:numFmt w:val="bullet"/>
      <w:lvlText w:val=""/>
      <w:lvlJc w:val="left"/>
      <w:pPr>
        <w:tabs>
          <w:tab w:val="num" w:pos="900"/>
        </w:tabs>
        <w:ind w:left="540" w:hanging="360"/>
      </w:pPr>
      <w:rPr>
        <w:rFonts w:ascii="Symbol" w:hAnsi="Symbol" w:hint="default"/>
      </w:rPr>
    </w:lvl>
    <w:lvl w:ilvl="1" w:tplc="FB1AAC08">
      <w:numFmt w:val="decimal"/>
      <w:lvlText w:val=""/>
      <w:lvlJc w:val="left"/>
    </w:lvl>
    <w:lvl w:ilvl="2" w:tplc="3C6A3550">
      <w:numFmt w:val="decimal"/>
      <w:lvlText w:val=""/>
      <w:lvlJc w:val="left"/>
    </w:lvl>
    <w:lvl w:ilvl="3" w:tplc="B64608B2">
      <w:numFmt w:val="decimal"/>
      <w:lvlText w:val=""/>
      <w:lvlJc w:val="left"/>
    </w:lvl>
    <w:lvl w:ilvl="4" w:tplc="DDE68116">
      <w:numFmt w:val="decimal"/>
      <w:lvlText w:val=""/>
      <w:lvlJc w:val="left"/>
    </w:lvl>
    <w:lvl w:ilvl="5" w:tplc="883ABAAE">
      <w:numFmt w:val="decimal"/>
      <w:lvlText w:val=""/>
      <w:lvlJc w:val="left"/>
    </w:lvl>
    <w:lvl w:ilvl="6" w:tplc="54721010">
      <w:numFmt w:val="decimal"/>
      <w:lvlText w:val=""/>
      <w:lvlJc w:val="left"/>
    </w:lvl>
    <w:lvl w:ilvl="7" w:tplc="73D8C5E6">
      <w:numFmt w:val="decimal"/>
      <w:lvlText w:val=""/>
      <w:lvlJc w:val="left"/>
    </w:lvl>
    <w:lvl w:ilvl="8" w:tplc="B84CBAFC">
      <w:numFmt w:val="decimal"/>
      <w:lvlText w:val=""/>
      <w:lvlJc w:val="left"/>
    </w:lvl>
  </w:abstractNum>
  <w:abstractNum w:abstractNumId="4" w15:restartNumberingAfterBreak="0">
    <w:nsid w:val="24476614"/>
    <w:multiLevelType w:val="hybridMultilevel"/>
    <w:tmpl w:val="B54A5E58"/>
    <w:lvl w:ilvl="0" w:tplc="E89E8706">
      <w:start w:val="1"/>
      <w:numFmt w:val="bullet"/>
      <w:lvlText w:val=""/>
      <w:lvlJc w:val="left"/>
      <w:pPr>
        <w:tabs>
          <w:tab w:val="num" w:pos="900"/>
        </w:tabs>
        <w:ind w:left="540" w:hanging="360"/>
      </w:pPr>
      <w:rPr>
        <w:rFonts w:ascii="Symbol" w:hAnsi="Symbol" w:hint="default"/>
      </w:rPr>
    </w:lvl>
    <w:lvl w:ilvl="1" w:tplc="8A1E3EEA">
      <w:numFmt w:val="decimal"/>
      <w:lvlText w:val=""/>
      <w:lvlJc w:val="left"/>
    </w:lvl>
    <w:lvl w:ilvl="2" w:tplc="29D2A1DA">
      <w:numFmt w:val="decimal"/>
      <w:lvlText w:val=""/>
      <w:lvlJc w:val="left"/>
    </w:lvl>
    <w:lvl w:ilvl="3" w:tplc="B6989C84">
      <w:numFmt w:val="decimal"/>
      <w:lvlText w:val=""/>
      <w:lvlJc w:val="left"/>
    </w:lvl>
    <w:lvl w:ilvl="4" w:tplc="1DB2AD1E">
      <w:numFmt w:val="decimal"/>
      <w:lvlText w:val=""/>
      <w:lvlJc w:val="left"/>
    </w:lvl>
    <w:lvl w:ilvl="5" w:tplc="C478A3F6">
      <w:numFmt w:val="decimal"/>
      <w:lvlText w:val=""/>
      <w:lvlJc w:val="left"/>
    </w:lvl>
    <w:lvl w:ilvl="6" w:tplc="9CC4774C">
      <w:numFmt w:val="decimal"/>
      <w:lvlText w:val=""/>
      <w:lvlJc w:val="left"/>
    </w:lvl>
    <w:lvl w:ilvl="7" w:tplc="2278A93A">
      <w:numFmt w:val="decimal"/>
      <w:lvlText w:val=""/>
      <w:lvlJc w:val="left"/>
    </w:lvl>
    <w:lvl w:ilvl="8" w:tplc="A1DE4820">
      <w:numFmt w:val="decimal"/>
      <w:lvlText w:val=""/>
      <w:lvlJc w:val="left"/>
    </w:lvl>
  </w:abstractNum>
  <w:abstractNum w:abstractNumId="5" w15:restartNumberingAfterBreak="0">
    <w:nsid w:val="28BE334E"/>
    <w:multiLevelType w:val="hybridMultilevel"/>
    <w:tmpl w:val="06786CD0"/>
    <w:lvl w:ilvl="0" w:tplc="CD527338">
      <w:start w:val="1"/>
      <w:numFmt w:val="bullet"/>
      <w:lvlText w:val=""/>
      <w:lvlJc w:val="left"/>
      <w:pPr>
        <w:tabs>
          <w:tab w:val="num" w:pos="900"/>
        </w:tabs>
        <w:ind w:left="540" w:hanging="360"/>
      </w:pPr>
      <w:rPr>
        <w:rFonts w:ascii="Symbol" w:hAnsi="Symbol" w:hint="default"/>
      </w:rPr>
    </w:lvl>
    <w:lvl w:ilvl="1" w:tplc="AE7ECA24">
      <w:numFmt w:val="decimal"/>
      <w:lvlText w:val=""/>
      <w:lvlJc w:val="left"/>
    </w:lvl>
    <w:lvl w:ilvl="2" w:tplc="74348EC4">
      <w:numFmt w:val="decimal"/>
      <w:lvlText w:val=""/>
      <w:lvlJc w:val="left"/>
    </w:lvl>
    <w:lvl w:ilvl="3" w:tplc="73C82450">
      <w:numFmt w:val="decimal"/>
      <w:lvlText w:val=""/>
      <w:lvlJc w:val="left"/>
    </w:lvl>
    <w:lvl w:ilvl="4" w:tplc="6E0E9DEE">
      <w:numFmt w:val="decimal"/>
      <w:lvlText w:val=""/>
      <w:lvlJc w:val="left"/>
    </w:lvl>
    <w:lvl w:ilvl="5" w:tplc="52088416">
      <w:numFmt w:val="decimal"/>
      <w:lvlText w:val=""/>
      <w:lvlJc w:val="left"/>
    </w:lvl>
    <w:lvl w:ilvl="6" w:tplc="D8409D98">
      <w:numFmt w:val="decimal"/>
      <w:lvlText w:val=""/>
      <w:lvlJc w:val="left"/>
    </w:lvl>
    <w:lvl w:ilvl="7" w:tplc="774AC79C">
      <w:numFmt w:val="decimal"/>
      <w:lvlText w:val=""/>
      <w:lvlJc w:val="left"/>
    </w:lvl>
    <w:lvl w:ilvl="8" w:tplc="44AE2436">
      <w:numFmt w:val="decimal"/>
      <w:lvlText w:val=""/>
      <w:lvlJc w:val="left"/>
    </w:lvl>
  </w:abstractNum>
  <w:abstractNum w:abstractNumId="6" w15:restartNumberingAfterBreak="0">
    <w:nsid w:val="4B386FD7"/>
    <w:multiLevelType w:val="hybridMultilevel"/>
    <w:tmpl w:val="B3C6403C"/>
    <w:lvl w:ilvl="0" w:tplc="94203ECA">
      <w:start w:val="1"/>
      <w:numFmt w:val="bullet"/>
      <w:lvlText w:val=""/>
      <w:lvlJc w:val="left"/>
      <w:pPr>
        <w:tabs>
          <w:tab w:val="num" w:pos="900"/>
        </w:tabs>
        <w:ind w:left="540" w:hanging="360"/>
      </w:pPr>
      <w:rPr>
        <w:rFonts w:ascii="Symbol" w:hAnsi="Symbol" w:hint="default"/>
      </w:rPr>
    </w:lvl>
    <w:lvl w:ilvl="1" w:tplc="50CAC944">
      <w:numFmt w:val="decimal"/>
      <w:lvlText w:val=""/>
      <w:lvlJc w:val="left"/>
    </w:lvl>
    <w:lvl w:ilvl="2" w:tplc="CD327A0E">
      <w:numFmt w:val="decimal"/>
      <w:lvlText w:val=""/>
      <w:lvlJc w:val="left"/>
    </w:lvl>
    <w:lvl w:ilvl="3" w:tplc="EE1C570E">
      <w:numFmt w:val="decimal"/>
      <w:lvlText w:val=""/>
      <w:lvlJc w:val="left"/>
    </w:lvl>
    <w:lvl w:ilvl="4" w:tplc="2D00B35A">
      <w:numFmt w:val="decimal"/>
      <w:lvlText w:val=""/>
      <w:lvlJc w:val="left"/>
    </w:lvl>
    <w:lvl w:ilvl="5" w:tplc="F9E0D062">
      <w:numFmt w:val="decimal"/>
      <w:lvlText w:val=""/>
      <w:lvlJc w:val="left"/>
    </w:lvl>
    <w:lvl w:ilvl="6" w:tplc="CF9C23AE">
      <w:numFmt w:val="decimal"/>
      <w:lvlText w:val=""/>
      <w:lvlJc w:val="left"/>
    </w:lvl>
    <w:lvl w:ilvl="7" w:tplc="53A43298">
      <w:numFmt w:val="decimal"/>
      <w:lvlText w:val=""/>
      <w:lvlJc w:val="left"/>
    </w:lvl>
    <w:lvl w:ilvl="8" w:tplc="5A420EC8">
      <w:numFmt w:val="decimal"/>
      <w:lvlText w:val=""/>
      <w:lvlJc w:val="left"/>
    </w:lvl>
  </w:abstractNum>
  <w:abstractNum w:abstractNumId="7" w15:restartNumberingAfterBreak="0">
    <w:nsid w:val="5B092E26"/>
    <w:multiLevelType w:val="hybridMultilevel"/>
    <w:tmpl w:val="3724E7BE"/>
    <w:lvl w:ilvl="0" w:tplc="DF98892C">
      <w:start w:val="1"/>
      <w:numFmt w:val="bullet"/>
      <w:lvlText w:val=""/>
      <w:lvlJc w:val="left"/>
      <w:pPr>
        <w:tabs>
          <w:tab w:val="num" w:pos="900"/>
        </w:tabs>
        <w:ind w:left="540" w:hanging="360"/>
      </w:pPr>
      <w:rPr>
        <w:rFonts w:ascii="Symbol" w:hAnsi="Symbol" w:hint="default"/>
      </w:rPr>
    </w:lvl>
    <w:lvl w:ilvl="1" w:tplc="F1C46CF8">
      <w:numFmt w:val="decimal"/>
      <w:lvlText w:val=""/>
      <w:lvlJc w:val="left"/>
    </w:lvl>
    <w:lvl w:ilvl="2" w:tplc="DD164CCE">
      <w:numFmt w:val="decimal"/>
      <w:lvlText w:val=""/>
      <w:lvlJc w:val="left"/>
    </w:lvl>
    <w:lvl w:ilvl="3" w:tplc="DD42D942">
      <w:numFmt w:val="decimal"/>
      <w:lvlText w:val=""/>
      <w:lvlJc w:val="left"/>
    </w:lvl>
    <w:lvl w:ilvl="4" w:tplc="45FC4FD2">
      <w:numFmt w:val="decimal"/>
      <w:lvlText w:val=""/>
      <w:lvlJc w:val="left"/>
    </w:lvl>
    <w:lvl w:ilvl="5" w:tplc="8E48C762">
      <w:numFmt w:val="decimal"/>
      <w:lvlText w:val=""/>
      <w:lvlJc w:val="left"/>
    </w:lvl>
    <w:lvl w:ilvl="6" w:tplc="A8A6999C">
      <w:numFmt w:val="decimal"/>
      <w:lvlText w:val=""/>
      <w:lvlJc w:val="left"/>
    </w:lvl>
    <w:lvl w:ilvl="7" w:tplc="7944C900">
      <w:numFmt w:val="decimal"/>
      <w:lvlText w:val=""/>
      <w:lvlJc w:val="left"/>
    </w:lvl>
    <w:lvl w:ilvl="8" w:tplc="9216BF74">
      <w:numFmt w:val="decimal"/>
      <w:lvlText w:val=""/>
      <w:lvlJc w:val="left"/>
    </w:lvl>
  </w:abstractNum>
  <w:abstractNum w:abstractNumId="8" w15:restartNumberingAfterBreak="0">
    <w:nsid w:val="5DDD41E1"/>
    <w:multiLevelType w:val="hybridMultilevel"/>
    <w:tmpl w:val="28662A5C"/>
    <w:lvl w:ilvl="0" w:tplc="76BA469C">
      <w:start w:val="1"/>
      <w:numFmt w:val="bullet"/>
      <w:lvlText w:val=""/>
      <w:lvlJc w:val="left"/>
      <w:pPr>
        <w:tabs>
          <w:tab w:val="num" w:pos="900"/>
        </w:tabs>
        <w:ind w:left="540" w:hanging="360"/>
      </w:pPr>
      <w:rPr>
        <w:rFonts w:ascii="Symbol" w:hAnsi="Symbol" w:hint="default"/>
      </w:rPr>
    </w:lvl>
    <w:lvl w:ilvl="1" w:tplc="1F2AF29A">
      <w:numFmt w:val="decimal"/>
      <w:lvlText w:val=""/>
      <w:lvlJc w:val="left"/>
    </w:lvl>
    <w:lvl w:ilvl="2" w:tplc="A9D4C39C">
      <w:numFmt w:val="decimal"/>
      <w:lvlText w:val=""/>
      <w:lvlJc w:val="left"/>
    </w:lvl>
    <w:lvl w:ilvl="3" w:tplc="D8BC1FEE">
      <w:numFmt w:val="decimal"/>
      <w:lvlText w:val=""/>
      <w:lvlJc w:val="left"/>
    </w:lvl>
    <w:lvl w:ilvl="4" w:tplc="3C40CF00">
      <w:numFmt w:val="decimal"/>
      <w:lvlText w:val=""/>
      <w:lvlJc w:val="left"/>
    </w:lvl>
    <w:lvl w:ilvl="5" w:tplc="F02C6102">
      <w:numFmt w:val="decimal"/>
      <w:lvlText w:val=""/>
      <w:lvlJc w:val="left"/>
    </w:lvl>
    <w:lvl w:ilvl="6" w:tplc="05388826">
      <w:numFmt w:val="decimal"/>
      <w:lvlText w:val=""/>
      <w:lvlJc w:val="left"/>
    </w:lvl>
    <w:lvl w:ilvl="7" w:tplc="83D27FF0">
      <w:numFmt w:val="decimal"/>
      <w:lvlText w:val=""/>
      <w:lvlJc w:val="left"/>
    </w:lvl>
    <w:lvl w:ilvl="8" w:tplc="9514C618">
      <w:numFmt w:val="decimal"/>
      <w:lvlText w:val=""/>
      <w:lvlJc w:val="left"/>
    </w:lvl>
  </w:abstractNum>
  <w:abstractNum w:abstractNumId="9" w15:restartNumberingAfterBreak="0">
    <w:nsid w:val="5F32548B"/>
    <w:multiLevelType w:val="hybridMultilevel"/>
    <w:tmpl w:val="3580DEDE"/>
    <w:lvl w:ilvl="0" w:tplc="9C4ECEDC">
      <w:start w:val="1"/>
      <w:numFmt w:val="bullet"/>
      <w:lvlText w:val=""/>
      <w:lvlJc w:val="left"/>
      <w:pPr>
        <w:tabs>
          <w:tab w:val="num" w:pos="900"/>
        </w:tabs>
        <w:ind w:left="540" w:hanging="360"/>
      </w:pPr>
      <w:rPr>
        <w:rFonts w:ascii="Symbol" w:hAnsi="Symbol" w:hint="default"/>
      </w:rPr>
    </w:lvl>
    <w:lvl w:ilvl="1" w:tplc="8B3E4A48">
      <w:numFmt w:val="decimal"/>
      <w:lvlText w:val=""/>
      <w:lvlJc w:val="left"/>
    </w:lvl>
    <w:lvl w:ilvl="2" w:tplc="4490BB06">
      <w:numFmt w:val="decimal"/>
      <w:lvlText w:val=""/>
      <w:lvlJc w:val="left"/>
    </w:lvl>
    <w:lvl w:ilvl="3" w:tplc="8BCCA346">
      <w:numFmt w:val="decimal"/>
      <w:lvlText w:val=""/>
      <w:lvlJc w:val="left"/>
    </w:lvl>
    <w:lvl w:ilvl="4" w:tplc="4DCAAE1A">
      <w:numFmt w:val="decimal"/>
      <w:lvlText w:val=""/>
      <w:lvlJc w:val="left"/>
    </w:lvl>
    <w:lvl w:ilvl="5" w:tplc="D1BE236A">
      <w:numFmt w:val="decimal"/>
      <w:lvlText w:val=""/>
      <w:lvlJc w:val="left"/>
    </w:lvl>
    <w:lvl w:ilvl="6" w:tplc="FCA8652A">
      <w:numFmt w:val="decimal"/>
      <w:lvlText w:val=""/>
      <w:lvlJc w:val="left"/>
    </w:lvl>
    <w:lvl w:ilvl="7" w:tplc="583A393C">
      <w:numFmt w:val="decimal"/>
      <w:lvlText w:val=""/>
      <w:lvlJc w:val="left"/>
    </w:lvl>
    <w:lvl w:ilvl="8" w:tplc="30D24C1A">
      <w:numFmt w:val="decimal"/>
      <w:lvlText w:val=""/>
      <w:lvlJc w:val="left"/>
    </w:lvl>
  </w:abstractNum>
  <w:abstractNum w:abstractNumId="10" w15:restartNumberingAfterBreak="0">
    <w:nsid w:val="614301E7"/>
    <w:multiLevelType w:val="hybridMultilevel"/>
    <w:tmpl w:val="68A0332C"/>
    <w:lvl w:ilvl="0" w:tplc="A232EAF6">
      <w:start w:val="1"/>
      <w:numFmt w:val="bullet"/>
      <w:lvlText w:val=""/>
      <w:lvlJc w:val="left"/>
      <w:pPr>
        <w:tabs>
          <w:tab w:val="num" w:pos="900"/>
        </w:tabs>
        <w:ind w:left="540" w:hanging="360"/>
      </w:pPr>
      <w:rPr>
        <w:rFonts w:ascii="Symbol" w:hAnsi="Symbol" w:hint="default"/>
      </w:rPr>
    </w:lvl>
    <w:lvl w:ilvl="1" w:tplc="8E967C96">
      <w:numFmt w:val="decimal"/>
      <w:lvlText w:val=""/>
      <w:lvlJc w:val="left"/>
    </w:lvl>
    <w:lvl w:ilvl="2" w:tplc="EFD2FCA6">
      <w:numFmt w:val="decimal"/>
      <w:lvlText w:val=""/>
      <w:lvlJc w:val="left"/>
    </w:lvl>
    <w:lvl w:ilvl="3" w:tplc="1E34378E">
      <w:numFmt w:val="decimal"/>
      <w:lvlText w:val=""/>
      <w:lvlJc w:val="left"/>
    </w:lvl>
    <w:lvl w:ilvl="4" w:tplc="999A1194">
      <w:numFmt w:val="decimal"/>
      <w:lvlText w:val=""/>
      <w:lvlJc w:val="left"/>
    </w:lvl>
    <w:lvl w:ilvl="5" w:tplc="C914B5EC">
      <w:numFmt w:val="decimal"/>
      <w:lvlText w:val=""/>
      <w:lvlJc w:val="left"/>
    </w:lvl>
    <w:lvl w:ilvl="6" w:tplc="9B92BECC">
      <w:numFmt w:val="decimal"/>
      <w:lvlText w:val=""/>
      <w:lvlJc w:val="left"/>
    </w:lvl>
    <w:lvl w:ilvl="7" w:tplc="0E088552">
      <w:numFmt w:val="decimal"/>
      <w:lvlText w:val=""/>
      <w:lvlJc w:val="left"/>
    </w:lvl>
    <w:lvl w:ilvl="8" w:tplc="1902C8A2">
      <w:numFmt w:val="decimal"/>
      <w:lvlText w:val=""/>
      <w:lvlJc w:val="left"/>
    </w:lvl>
  </w:abstractNum>
  <w:abstractNum w:abstractNumId="11" w15:restartNumberingAfterBreak="0">
    <w:nsid w:val="7F650EBA"/>
    <w:multiLevelType w:val="hybridMultilevel"/>
    <w:tmpl w:val="697878EC"/>
    <w:lvl w:ilvl="0" w:tplc="79CAB56E">
      <w:start w:val="1"/>
      <w:numFmt w:val="bullet"/>
      <w:lvlText w:val=""/>
      <w:lvlJc w:val="left"/>
      <w:pPr>
        <w:tabs>
          <w:tab w:val="num" w:pos="900"/>
        </w:tabs>
        <w:ind w:left="540" w:hanging="360"/>
      </w:pPr>
      <w:rPr>
        <w:rFonts w:ascii="Symbol" w:hAnsi="Symbol" w:hint="default"/>
      </w:rPr>
    </w:lvl>
    <w:lvl w:ilvl="1" w:tplc="B2C60A4C">
      <w:numFmt w:val="decimal"/>
      <w:lvlText w:val=""/>
      <w:lvlJc w:val="left"/>
    </w:lvl>
    <w:lvl w:ilvl="2" w:tplc="779879DE">
      <w:numFmt w:val="decimal"/>
      <w:lvlText w:val=""/>
      <w:lvlJc w:val="left"/>
    </w:lvl>
    <w:lvl w:ilvl="3" w:tplc="A0660254">
      <w:numFmt w:val="decimal"/>
      <w:lvlText w:val=""/>
      <w:lvlJc w:val="left"/>
    </w:lvl>
    <w:lvl w:ilvl="4" w:tplc="B55645EC">
      <w:numFmt w:val="decimal"/>
      <w:lvlText w:val=""/>
      <w:lvlJc w:val="left"/>
    </w:lvl>
    <w:lvl w:ilvl="5" w:tplc="CA7C8B84">
      <w:numFmt w:val="decimal"/>
      <w:lvlText w:val=""/>
      <w:lvlJc w:val="left"/>
    </w:lvl>
    <w:lvl w:ilvl="6" w:tplc="E048D9B6">
      <w:numFmt w:val="decimal"/>
      <w:lvlText w:val=""/>
      <w:lvlJc w:val="left"/>
    </w:lvl>
    <w:lvl w:ilvl="7" w:tplc="A89ACACE">
      <w:numFmt w:val="decimal"/>
      <w:lvlText w:val=""/>
      <w:lvlJc w:val="left"/>
    </w:lvl>
    <w:lvl w:ilvl="8" w:tplc="E17C0EE4">
      <w:numFmt w:val="decimal"/>
      <w:lvlText w:val=""/>
      <w:lvlJc w:val="left"/>
    </w:lvl>
  </w:abstractNum>
  <w:num w:numId="1" w16cid:durableId="858352753">
    <w:abstractNumId w:val="7"/>
  </w:num>
  <w:num w:numId="2" w16cid:durableId="1239050302">
    <w:abstractNumId w:val="4"/>
  </w:num>
  <w:num w:numId="3" w16cid:durableId="692656928">
    <w:abstractNumId w:val="11"/>
  </w:num>
  <w:num w:numId="4" w16cid:durableId="1424913433">
    <w:abstractNumId w:val="9"/>
  </w:num>
  <w:num w:numId="5" w16cid:durableId="132529172">
    <w:abstractNumId w:val="10"/>
  </w:num>
  <w:num w:numId="6" w16cid:durableId="432866838">
    <w:abstractNumId w:val="6"/>
  </w:num>
  <w:num w:numId="7" w16cid:durableId="1509297047">
    <w:abstractNumId w:val="2"/>
  </w:num>
  <w:num w:numId="8" w16cid:durableId="379521711">
    <w:abstractNumId w:val="1"/>
  </w:num>
  <w:num w:numId="9" w16cid:durableId="1027752220">
    <w:abstractNumId w:val="8"/>
  </w:num>
  <w:num w:numId="10" w16cid:durableId="1742167510">
    <w:abstractNumId w:val="5"/>
  </w:num>
  <w:num w:numId="11" w16cid:durableId="1400010917">
    <w:abstractNumId w:val="0"/>
  </w:num>
  <w:num w:numId="12" w16cid:durableId="7725535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E7C"/>
    <w:rsid w:val="006B6E7C"/>
    <w:rsid w:val="00D70EC4"/>
    <w:rsid w:val="00E2714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C6F6E2D"/>
  <w15:docId w15:val="{BE13ABFB-88A6-3F4A-984E-B78D9444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1051</Words>
  <Characters>5995</Characters>
  <Application>Microsoft Office Word</Application>
  <DocSecurity>0</DocSecurity>
  <Lines>49</Lines>
  <Paragraphs>14</Paragraphs>
  <ScaleCrop>false</ScaleCrop>
  <Company/>
  <LinksUpToDate>false</LinksUpToDate>
  <CharactersWithSpaces>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Samyak Mistry</cp:lastModifiedBy>
  <cp:revision>2</cp:revision>
  <dcterms:created xsi:type="dcterms:W3CDTF">2026-07-21T13:22:00Z</dcterms:created>
  <dcterms:modified xsi:type="dcterms:W3CDTF">2026-07-21T13:28:00Z</dcterms:modified>
</cp:coreProperties>
</file>