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  <w:t>聚合管理平台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开发环境地址：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"http://gateway.server.demo.cloudjoyclub.com（本地测试地址）"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http://gateway.server.demo.cloudjoyclub.com（本地测试地址）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原开发环境地址：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"http://to.free.idcfengye.com/" </w:instrTex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http://to.free.idcfengye.com/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  <w:t>壹厂小程序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开发环境地址：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"https://c.joymoma.com/（线上地址）" </w:instrTex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https://c.joymoma.com/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（线上地址）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  <w:t>中台管理系统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开发环境地址：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"http://cs.server.demo.cloudjoyclub.com（本地测试地址）" </w:instrTex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http://cs.server.demo.cloudjoyclub.com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（本地测试地址）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原开发环境地址：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"http://192.168.1.206:9099" </w:instrTex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http://192.168.1.206:9099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D657F"/>
    <w:rsid w:val="25F8695A"/>
    <w:rsid w:val="7E8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2020-04-09T02:28:00Z</dcterms:created>
  <dc:creator>D</dc:creator>
  <cp:lastModifiedBy>D</cp:lastModifiedBy>
  <dcterms:modified xsi:type="dcterms:W3CDTF">2020-04-09T02:38:48Z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