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B1175"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0B1175"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0B1175"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322B8B" w:rsidRDefault="00322B8B" w:rsidP="0019731C">
      <w:pPr>
        <w:spacing w:line="360" w:lineRule="auto"/>
        <w:jc w:val="both"/>
        <w:rPr>
          <w:rFonts w:ascii="Times New Roman" w:hAnsi="Times New Roman" w:cs="Times New Roman"/>
          <w:b/>
          <w:sz w:val="24"/>
          <w:szCs w:val="24"/>
        </w:rPr>
      </w:pPr>
      <w:r>
        <w:t>Existing sign language systems mainly focus on American or European languages, making them unsuitable for Kenyan Sign Language (KSL). While some local datasets and research projects provide KSL data, there is no fully functional, real-time system that supports both KSL-to-speech and speech-to-KSL translation. Many current models also overlook facial expressions, body posture, and non-manual signals, which are essential for accurate communication. This study is therefore necessary to develop a comprehensive, bidirectional KSL translation system that enhances communication, supports learning, and provides an accessible tool for Deaf and hearing individuals in Kenya.</w:t>
      </w:r>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lastRenderedPageBreak/>
        <w:t>2.5: Conclusion</w:t>
      </w:r>
      <w:bookmarkEnd w:id="33"/>
      <w:bookmarkEnd w:id="34"/>
    </w:p>
    <w:p w:rsidR="0019731C" w:rsidRDefault="00E67FED">
      <w:pPr>
        <w:rPr>
          <w:rFonts w:ascii="Times New Roman" w:hAnsi="Times New Roman" w:cs="Times New Roman"/>
          <w:b/>
          <w:sz w:val="24"/>
          <w:szCs w:val="24"/>
        </w:rPr>
      </w:pPr>
      <w:r>
        <w:t>This chapter reviewed literature on sign language recognition and translation systems, with a focus on Kenyan Sign Language (KSL). It highlighted existing global systems for ASL and BSL, as well as local KSL datasets and prototype translation models. The review also examined software tools, machine learning frameworks, and 3D visualization platforms relevant to gesture recognition and bidirectional translation. Gaps in existing research—such as the lack of real-time, bidirectional KSL translation and limited consideration of facial expressions and body posture—justify the need for this study. The findings provide a foundation for designing a comprehensive, accessible, and culturally relevant system that supports communication and learning for Deaf and hearing individuals in Kenya.</w:t>
      </w:r>
      <w:r w:rsidR="0019731C">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D6FC4" w:rsidP="0019731C">
      <w:pPr>
        <w:rPr>
          <w:rFonts w:ascii="Times New Roman" w:hAnsi="Times New Roman" w:cs="Times New Roman"/>
          <w:sz w:val="24"/>
          <w:szCs w:val="24"/>
        </w:rPr>
      </w:pPr>
      <w:r w:rsidRPr="001D6FC4">
        <w:rPr>
          <w:rFonts w:ascii="Times New Roman" w:hAnsi="Times New Roman" w:cs="Times New Roman"/>
          <w:sz w:val="24"/>
          <w:szCs w:val="24"/>
        </w:rPr>
        <w:t>This chapter presents the research methodology for developing a bidirectional Kenyan Sign Language (KSL) translation system. It describes the methods used to collect data, the software development techniques, system requirements, and both functional and non-functional aspects of the system. The chapter also outlines the tools, frameworks, and approaches adopted to ensure that the system accurately translates KSL gestures into text-to-speech and speech into KSL animations in real time. The Agile software development methodology was employed to facilitate iterative development, testing, and refinement of the system components.</w:t>
      </w:r>
    </w:p>
    <w:p w:rsidR="0019731C" w:rsidRDefault="0019731C" w:rsidP="0019731C">
      <w:pPr>
        <w:pStyle w:val="Heading2"/>
        <w:spacing w:line="360" w:lineRule="auto"/>
        <w:jc w:val="both"/>
        <w:rPr>
          <w:rFonts w:ascii="Times New Roman" w:hAnsi="Times New Roman" w:cs="Times New Roman"/>
          <w:b/>
          <w:color w:val="auto"/>
          <w:sz w:val="24"/>
          <w:szCs w:val="24"/>
        </w:rPr>
      </w:pPr>
      <w:bookmarkStart w:id="37" w:name="_Toc83630584"/>
      <w:r w:rsidRPr="0026288F">
        <w:rPr>
          <w:rFonts w:ascii="Times New Roman" w:hAnsi="Times New Roman" w:cs="Times New Roman"/>
          <w:b/>
          <w:color w:val="auto"/>
          <w:sz w:val="24"/>
          <w:szCs w:val="24"/>
        </w:rPr>
        <w:t>3.2: Data Collection Techniques</w:t>
      </w:r>
      <w:bookmarkEnd w:id="37"/>
    </w:p>
    <w:p w:rsidR="000B1175" w:rsidRPr="000B1175" w:rsidRDefault="000B1175" w:rsidP="000B1175">
      <w:p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sz w:val="24"/>
          <w:szCs w:val="24"/>
        </w:rPr>
        <w:t>Data for this study was collected in real time using live video recordings of participants performing KSL gestures. The process involved:</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Participants</w:t>
      </w:r>
      <w:r w:rsidRPr="000B1175">
        <w:rPr>
          <w:rFonts w:ascii="Times New Roman" w:eastAsia="Times New Roman" w:hAnsi="Times New Roman" w:cs="Times New Roman"/>
          <w:sz w:val="24"/>
          <w:szCs w:val="24"/>
        </w:rPr>
        <w:t xml:space="preserve"> – Volunteers fluent in KSL performed a set of pre-determined signs.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Recording Setup</w:t>
      </w:r>
      <w:r w:rsidRPr="000B1175">
        <w:rPr>
          <w:rFonts w:ascii="Times New Roman" w:eastAsia="Times New Roman" w:hAnsi="Times New Roman" w:cs="Times New Roman"/>
          <w:sz w:val="24"/>
          <w:szCs w:val="24"/>
        </w:rPr>
        <w:t xml:space="preserve"> – Participants were recorded in front of a standard camera. Minimum camera requirements were considered to ensure clear capture of hand movements and gestures.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Gesture Capture</w:t>
      </w:r>
      <w:r w:rsidRPr="000B1175">
        <w:rPr>
          <w:rFonts w:ascii="Times New Roman" w:eastAsia="Times New Roman" w:hAnsi="Times New Roman" w:cs="Times New Roman"/>
          <w:sz w:val="24"/>
          <w:szCs w:val="24"/>
        </w:rPr>
        <w:t xml:space="preserve"> – Video streams were processed using </w:t>
      </w:r>
      <w:proofErr w:type="spellStart"/>
      <w:r w:rsidRPr="000B1175">
        <w:rPr>
          <w:rFonts w:ascii="Times New Roman" w:eastAsia="Times New Roman" w:hAnsi="Times New Roman" w:cs="Times New Roman"/>
          <w:b/>
          <w:bCs/>
          <w:sz w:val="24"/>
          <w:szCs w:val="24"/>
        </w:rPr>
        <w:t>MediaPipe</w:t>
      </w:r>
      <w:proofErr w:type="spellEnd"/>
      <w:r w:rsidRPr="000B1175">
        <w:rPr>
          <w:rFonts w:ascii="Times New Roman" w:eastAsia="Times New Roman" w:hAnsi="Times New Roman" w:cs="Times New Roman"/>
          <w:sz w:val="24"/>
          <w:szCs w:val="24"/>
        </w:rPr>
        <w:t>, which extracted hand and body landmarks. These points were stored as numerical data, forming the dataset for training and testing the machine learning models.</w:t>
      </w:r>
    </w:p>
    <w:p w:rsidR="000B1175" w:rsidRPr="000B1175" w:rsidRDefault="000B1175" w:rsidP="000B1175">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B1175">
        <w:rPr>
          <w:rFonts w:ascii="Times New Roman" w:eastAsia="Times New Roman" w:hAnsi="Times New Roman" w:cs="Times New Roman"/>
          <w:b/>
          <w:bCs/>
          <w:sz w:val="24"/>
          <w:szCs w:val="24"/>
        </w:rPr>
        <w:t>Data Storage</w:t>
      </w:r>
      <w:r w:rsidRPr="000B1175">
        <w:rPr>
          <w:rFonts w:ascii="Times New Roman" w:eastAsia="Times New Roman" w:hAnsi="Times New Roman" w:cs="Times New Roman"/>
          <w:sz w:val="24"/>
          <w:szCs w:val="24"/>
        </w:rPr>
        <w:t xml:space="preserve"> – The captured landmarks were organized into a structured format compatible with TensorFlow for model training.</w:t>
      </w:r>
    </w:p>
    <w:p w:rsidR="000B1175" w:rsidRPr="000B1175" w:rsidRDefault="000B1175" w:rsidP="000B1175">
      <w:bookmarkStart w:id="38" w:name="_GoBack"/>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lastRenderedPageBreak/>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E20AA7"/>
    <w:multiLevelType w:val="multilevel"/>
    <w:tmpl w:val="C5B65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2"/>
  </w:num>
  <w:num w:numId="3">
    <w:abstractNumId w:val="15"/>
  </w:num>
  <w:num w:numId="4">
    <w:abstractNumId w:val="0"/>
  </w:num>
  <w:num w:numId="5">
    <w:abstractNumId w:val="24"/>
  </w:num>
  <w:num w:numId="6">
    <w:abstractNumId w:val="16"/>
  </w:num>
  <w:num w:numId="7">
    <w:abstractNumId w:val="21"/>
  </w:num>
  <w:num w:numId="8">
    <w:abstractNumId w:val="10"/>
  </w:num>
  <w:num w:numId="9">
    <w:abstractNumId w:val="2"/>
  </w:num>
  <w:num w:numId="10">
    <w:abstractNumId w:val="3"/>
  </w:num>
  <w:num w:numId="11">
    <w:abstractNumId w:val="19"/>
  </w:num>
  <w:num w:numId="12">
    <w:abstractNumId w:val="5"/>
  </w:num>
  <w:num w:numId="13">
    <w:abstractNumId w:val="14"/>
  </w:num>
  <w:num w:numId="14">
    <w:abstractNumId w:val="23"/>
  </w:num>
  <w:num w:numId="15">
    <w:abstractNumId w:val="18"/>
  </w:num>
  <w:num w:numId="16">
    <w:abstractNumId w:val="17"/>
  </w:num>
  <w:num w:numId="17">
    <w:abstractNumId w:val="9"/>
  </w:num>
  <w:num w:numId="18">
    <w:abstractNumId w:val="6"/>
  </w:num>
  <w:num w:numId="19">
    <w:abstractNumId w:val="13"/>
  </w:num>
  <w:num w:numId="20">
    <w:abstractNumId w:val="4"/>
  </w:num>
  <w:num w:numId="21">
    <w:abstractNumId w:val="11"/>
  </w:num>
  <w:num w:numId="22">
    <w:abstractNumId w:val="22"/>
  </w:num>
  <w:num w:numId="23">
    <w:abstractNumId w:val="1"/>
  </w:num>
  <w:num w:numId="24">
    <w:abstractNumId w:val="8"/>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B1175"/>
    <w:rsid w:val="000C5CB3"/>
    <w:rsid w:val="000E7262"/>
    <w:rsid w:val="00152857"/>
    <w:rsid w:val="001956A7"/>
    <w:rsid w:val="0019731C"/>
    <w:rsid w:val="001D6FC4"/>
    <w:rsid w:val="00314288"/>
    <w:rsid w:val="00322B8B"/>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 w:val="00E67FED"/>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39730160">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25</Pages>
  <Words>4482</Words>
  <Characters>25553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17</cp:revision>
  <dcterms:created xsi:type="dcterms:W3CDTF">2025-11-18T12:13:00Z</dcterms:created>
  <dcterms:modified xsi:type="dcterms:W3CDTF">2025-11-25T10:33:00Z</dcterms:modified>
</cp:coreProperties>
</file>