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LexGuard — Full Foundations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Jacob Iannotti — Date: September 2025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BLOCK 1 — Parts I–V: GP, DRO, Lyapunov+SoCPM, KKT/Margins, Domain Exemplars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PART I — GEOMETRIC PROGRAMMING (GP) DERIVATION FOR PARS-BUDGETED HARMONY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maximize Harmony while budgeting (taxing or capping) risk via PARS and related factors. GP solves multiplicative structures globally after a log transform.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P1.1 Setup (Posynomial Form)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 = (Benefit - Burden) - Safety_Tax</w:t>
        <w:br w:type="textWrapping"/>
        <w:t xml:space="preserve">Safety_Tax = alpha*PARS + beta*Gap + gamma*Fragility</w:t>
        <w:br w:type="textWrapping"/>
        <w:t xml:space="preserve">PARS = kappa * Hz * Ex * Vu * (1 - Mt)   with (Hz, Ex, Vu, 1-Mt) &gt; 0</w:t>
        <w:br w:type="textWrapping"/>
        <w:t xml:space="preserve">Benefit = c0 * Q / U   with Q = I * P   (bilinear lift of UOE)</w:t>
        <w:br w:type="textWrapping"/>
        <w:br w:type="textWrapping"/>
        <w:t xml:space="preserve">Approach A (Budgeted):</w:t>
        <w:br w:type="textWrapping"/>
        <w:t xml:space="preserve">  maximize    Q / U</w:t>
        <w:br w:type="textWrapping"/>
        <w:t xml:space="preserve">  subject to  kappa*Hz*Ex*Vu*(1-Mt) &lt;= R</w:t>
        <w:br w:type="textWrapping"/>
        <w:t xml:space="preserve">              Gap &lt;= G</w:t>
        <w:br w:type="textWrapping"/>
        <w:t xml:space="preserve">              Fragility &lt;= F</w:t>
        <w:br w:type="textWrapping"/>
        <w:t xml:space="preserve">              box bounds on (I, P, U, Hz, Ex, Vu, Mt)</w:t>
        <w:br w:type="textWrapping"/>
        <w:br w:type="textWrapping"/>
        <w:t xml:space="preserve">Approach B (Penalized):</w:t>
        <w:br w:type="textWrapping"/>
        <w:t xml:space="preserve">  maximize S = (Q/U) / [(kappa*Hz*Ex*Vu*(1-Mt))^alpha * Gap^beta * Fragility^gamma]</w:t>
        <w:br w:type="textWrapping"/>
        <w:t xml:space="preserve">(We proceed with 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P1.2 GP-Eligibility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Standard GP: maximize monomial or minimize posynomial, with posynomial inequalities.</w:t>
        <w:br w:type="textWrapping"/>
        <w:t xml:space="preserve">Objective Q/U is monomial if Q = I*P and variables are positive.</w:t>
        <w:br w:type="textWrapping"/>
        <w:t xml:space="preserve">PARS budget is a monomial &lt;= constant (GP-compatible). Gap/Fragility upper bounds must be posynomial or bounded by posynomials.</w:t>
        <w:br w:type="textWrapping"/>
        <w:t xml:space="preserve">Standing positivity: I,P,U,Hz,Ex,Vu,(1-Mt) &gt;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P1.3 Log-Convex Reformulation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Let y = log x for positive x.</w:t>
        <w:br w:type="textWrapping"/>
        <w:t xml:space="preserve">Monomial c*Π x_i^{a_i}  -&gt;  log c + Σ a_i y_i  (affine)</w:t>
        <w:br w:type="textWrapping"/>
        <w:t xml:space="preserve">Posynomial Σ c_k*Π x_i^{a_ik}  -&gt;  log Σ exp(log c_k + Σ a_ik y_i)  (log-sum-exp convex)</w:t>
        <w:br w:type="textWrapping"/>
        <w:t xml:space="preserve">Thus, maximize monomial &lt;=&gt; minimize negative affine in y (convex). Constraints become convex after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P1.4 KKT System (Sketch)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Variables: z=log I, p=log P, u=log U, h=log Hz, e=log Ex, v=log Vu, s=log(1-Mt).</w:t>
        <w:br w:type="textWrapping"/>
        <w:t xml:space="preserve">L = -(z+p-u) + lambda_R*(log kappa + h+e+v+s - log R)</w:t>
        <w:br w:type="textWrapping"/>
        <w:t xml:space="preserve">    + lambda_G*(phi_G(y) - log G) + lambda_F*(phi_F(y) - log F)</w:t>
        <w:br w:type="textWrapping"/>
        <w:t xml:space="preserve">Stationarity equates marginal objective gains with weighted marginal risk increments; complementary slackness and feasibility complete KKT.</w:t>
        <w:br w:type="textWrapping"/>
        <w:t xml:space="preserve">KKT multipliers become risk shadow prices; align with Harmony weights in penalized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PART II — DISTRIBUTIONALLY-ROBUST (DRO) DUALS: MOMENT &amp; WASSERSTEIN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Goal:  max_x  inf_{P in Pset}  E_{theta~P}[ V(x; theta)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D2.1 Moment-Based Ambiguity (Mean/Second Moment)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D2.1 (Linear-moment dual):</w:t>
        <w:br w:type="textWrapping"/>
        <w:t xml:space="preserve">  inf_{P: E[phi]=m} E_P[V] = sup_{lambda} { lambda^T m + inf_theta ( V(x;theta) - lambda^T phi(theta) ) }</w:t>
        <w:br w:type="textWrapping"/>
        <w:t xml:space="preserve">Corollary (Bands): moment bands add L1 penalties on lambda (support function of the band).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D2.2 Wasserstein Ambiguity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D2.2 (Kantorovich/Lipschitz bound): If V is L_c-Lipschitz under transport cost c,</w:t>
        <w:br w:type="textWrapping"/>
        <w:t xml:space="preserve">  inf_{P: W_c(P,Phat) &lt;= eps} E_P[V] = E_{Phat}[V] - L_c*eps</w:t>
        <w:br w:type="textWrapping"/>
        <w:t xml:space="preserve">General dual: sup_{lambda&gt;=0} { E_{Phat}[ inf_theta ( V(theta) + lambda*c(theta,tilde_theta) ) ] - lambda*eps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PART III — LYAPUNOV-STYLE CERTIFICATES COUPLING V* DYNAMICS &amp; SoCPM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Dynamics: V*_{t+1} = ((I_t*P_t - (W_t+eps))/U_t)*E + F_t   with |F_t|&lt;=F_U, 0&lt;=E&lt;=1</w:t>
        <w:br w:type="textWrapping"/>
        <w:t xml:space="preserve">Safe set S = { x: H(x) &gt;= 0,  min_i M_{g_i}(x) &gt;= delta }</w:t>
        <w:br w:type="textWrapping"/>
        <w:t xml:space="preserve">SoCPM Redirect applies policy K(x_t) when x_t ∉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L3.2 Candidate Lyapunov and Negative Drift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L(x) = a*[H(x)]_- + b*[delta - min_i M_{g_i}(x)]_+ + c*PARS(x)</w:t>
        <w:br w:type="textWrapping"/>
        <w:t xml:space="preserve">Assume Redirect improves H, margins, and shrinks PARS by factor rho&lt;1, and F_t bounded.</w:t>
        <w:br w:type="textWrapping"/>
        <w:t xml:space="preserve">Theorem L3.1: ∃ a,b,c&gt;0 s.t.  L(x_{t+1}) - L(x_t) &lt;= -eps_L &lt; 0 whenever x_t ∉ S.  =&gt; Safety invariance.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PART IV — KKT/DUAL INTERPRETATION OF MARGIN MAPS AS SHADOW PRICES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Problem:  maximize H(x)  s.t. g_i(x) &gt;= 0.</w:t>
        <w:br w:type="textWrapping"/>
        <w:t xml:space="preserve">KKT: ∇H = Σ_i lambda_i*∇g_i,  lambda_i &gt;= 0,  lambda_i*g_i=0.</w:t>
        <w:br w:type="textWrapping"/>
        <w:t xml:space="preserve">Margin M_{g_i}(x) = g_i(x)/||∇g_i(x)||.</w:t>
        <w:br w:type="textWrapping"/>
        <w:t xml:space="preserve">Theorem K4.1: marginal Harmony gain per unit increase in i-th margin equals lambda_i (shadow price).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PART V — DOMAIN EXEMPLARS (NUMERIC, END-TO-END)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V5.1 Legal/Compliance: I=4,P=0.7,W=1,U=2 =&gt; V=0.9; PARS=0.3; Tax=0.54; Burden=0.1 =&gt; H=0.26.</w:t>
        <w:br w:type="textWrapping"/>
        <w:t xml:space="preserve">SoCPM thresholding shows tone/mitigation trade for Proceed/Redirect.</w:t>
        <w:br w:type="textWrapping"/>
        <w:br w:type="textWrapping"/>
        <w:t xml:space="preserve">V5.2 Healthcare: V=0.6; initial H&lt;0; increase Mt-&gt;0.8 =&gt; H&gt;0; clears SoCPM.</w:t>
        <w:br w:type="textWrapping"/>
        <w:br w:type="textWrapping"/>
        <w:t xml:space="preserve">V5.3 Climate: V=0.333; initial H&lt;0; Mt 0.3-&gt;0.8 =&gt; H&gt;0; SoCPM Proceed.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BLOCK 2 — Five Additional Math Sections + Consolidation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A1) Multi-PARS Portfolio via GP with Couplings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PARS_k = kappa_k*Hz_k*Ex_k*Vu_k*(1-Mt_k)</w:t>
        <w:br w:type="textWrapping"/>
        <w:t xml:space="preserve">S_k = (Q_k/U_k) * Π_j Penalty_{k,j}^{-w_{k,j}} ,  Q_k=I_k*P_k</w:t>
        <w:br w:type="textWrapping"/>
        <w:t xml:space="preserve">maximize Π_k S_k^{omega_k}</w:t>
        <w:br w:type="textWrapping"/>
        <w:t xml:space="preserve">subject to Σ_k PARS_k &lt;= R_tot,  Σ_k Gap_k &lt;= G_tot,  Σ_k Fragility_k &lt;= F_tot,</w:t>
        <w:br w:type="textWrapping"/>
        <w:t xml:space="preserve">and couplings: Σ_k c_k*(1-Mt_k) &lt;= B,  Σ_k I_k &lt;= I_tot.</w:t>
        <w:br w:type="textWrapping"/>
        <w:t xml:space="preserve">After log: affine objective + log-sum-exp constraints ⇒ convex. KKT multipliers are portfolio shadow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A2) Wasserstein-2 DRO with Lipschitz Moduli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Setup: max_x inf_{P: W2(P,Phat)&lt;=eps} E_P[V(x;theta)], with cost ||theta-theta'||_2^2.</w:t>
        <w:br w:type="textWrapping"/>
        <w:t xml:space="preserve">Theorem A2.1: If V is L-Lipschitz in theta,  inf_{W2&lt;=eps} E[V] &gt;= E_{Phat}[V] - L*eps.</w:t>
        <w:br w:type="textWrapping"/>
        <w:t xml:space="preserve">Dual form: sup_{lambda&gt;=0} { E_{Phat}[ inf_theta ( V + lambda*||theta-tilde||^2 ) ] - lambda*eps^2 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A3) Composite Lyapunov with Tone (Ar) &amp; Exposure (Ex) for De-escalation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L(x) = a*[H]_- + b*[delta - min_i M_g]_+ + c*PARS + d*psi(Ar) + e*chi(Ex)</w:t>
        <w:br w:type="textWrapping"/>
        <w:t xml:space="preserve">Redirect ensures: H↑ by eta_H, margins↑ by eta_M, PARS*(t+1) &lt;= rho*PARS_t, Ar_{t+1} &lt;= rho_Ar*Ar_t, Ex_{t+1} &lt;= rho_Ex*Ex_t.</w:t>
        <w:br w:type="textWrapping"/>
        <w:t xml:space="preserve">Theorem A3.1: ∃ weights =&gt; ΔL &lt;= -eps_c &lt; 0 outside S  ⇒ formal de-escalation.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A4) Second-Order Sensitivity (Parametric LP Bands / Smooth Hessians)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Within a stable LP basis B*: J(θ) = J(θ0) + Σ_i π*_i Δθ_i.</w:t>
        <w:br w:type="textWrapping"/>
        <w:t xml:space="preserve">Band: J ∈ [J0 - Σ|π*_i||Δθ_i|,  J0 + Σ|π*_i||Δθ_i|].</w:t>
        <w:br w:type="textWrapping"/>
        <w:t xml:space="preserve">Basis flips capture curvature; smooth surrogate (softplus on McCormick) yields Hessians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A5) Multi-Period Worked Case with Uncertainty Sets (Auditor-Ready)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 t=1..T: V_t=(I_t*P_t - W_t)/U_t;  PARS_t=kappa*Hz_t*Ex_t*Vu_t*(1-Mt_t);</w:t>
        <w:br w:type="textWrapping"/>
        <w:t xml:space="preserve">H_t = (V_t - Burden_t) - [alpha*PARS_t + beta*Gap_t + gamma*Fragility_t].</w:t>
        <w:br w:type="textWrapping"/>
        <w:t xml:space="preserve">Objective: J = inf_{θ_t in U_t} Σ δ^{t-1} H_t(x_t; θ_t),  with SoCPM policy.</w:t>
        <w:br w:type="textWrapping"/>
        <w:t xml:space="preserve">Certificate pack: LP/GP logs, DRO certs, Lyapunov drift, margin series, Redirect traces.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B) Consolidation Snapshot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Covered (12 sections): UOE; Harmony; PARS; SoCPM; ILC; Gap/Tethered; Margin Maps; Portfolio GP; DRO; Composite Lyapunov; 2nd-Order Sensitivity; Multi-Period Case.</w:t>
        <w:br w:type="textWrapping"/>
        <w:t xml:space="preserve">Missing (now addressed in Block 3): Provenance/Lineage; SBOM Gate; Traceability; Adversarial calculus; Calibration; Complexity; Implementation correctness; Legal alignment.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BLOCK 3 — Sections 13–20 Fully Written (Governance &amp; Ops)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13) Provenance &amp; Lineage Ledger — Formal Model and Guarantees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Objects and commits:</w:t>
        <w:br w:type="textWrapping"/>
        <w:t xml:space="preserve">  Capsule C = (DataVer, ModelVer, GuardrailVer, Seed, Config, Runtime)</w:t>
        <w:br w:type="textWrapping"/>
        <w:t xml:space="preserve">  Commit(a) = H( bytes(a) || C || Parents(a) )</w:t>
        <w:br w:type="textWrapping"/>
        <w:t xml:space="preserve">Ledger: DAG of commits with Merkle forest for O(log N) inclusion proofs.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13.1 (Minimal blame landing): Build auxiliary s-t flow on lineage DAG; a minimum cut intersects all root→incident paths ⇒ minimal landing set; polynomial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13.2 (Binding): Collision-resistant hash =&gt; cannot alter a or C without changing Commit(a).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14) SBOM Gate for AI — Release Policy as Mathematics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SBOM S(r) = (ModelVer, DataSlices, GuardrailSet, EvalSuite, RiskBudget).</w:t>
        <w:br w:type="textWrapping"/>
        <w:t xml:space="preserve">Gate rules: signatures; Σ PARS(a) &lt;= R_tot; eval metrics &gt;= thresholds τ_m; calibrated T for SoCPM.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14.1 (Ex-ante/ex-post soundness): If gate holds and SoCPM uses calibrated T, shipped artifacts either satisfy H&gt;=0 on validation or are redirected at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14.2 (Calibration ROC band): ∃ [T_-,T_+] yielding monotone trade between false-blocks and false-passes.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15) Requirements Traceability — Spec → Proofs → Tests → Metrics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Trace matrix R maps each requirement to: theorems (T), tests (X), metrics (M) with ledger pointers.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15.1 (Audit completeness): If every requirement has linked theorem + passing tests + metrics within tolerances, the system is audit-complete.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16) Adversarial Model &amp; Red-Team Calculus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Threat sets Δ_prompt, Δ_eval, Δ_data, Δ_jail (compact). Robust objective uses tethered value:</w:t>
        <w:br w:type="textWrapping"/>
        <w:t xml:space="preserve">  Ṽ(x) = inf_{δ∈Δ} V(x;δ) ;  H̃(x) = (Ṽ - Burden) - Safety_Tax.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16.1 (Existence): Under compactness/continuity on compact feasible set, max_x Ṽ and max_x H̃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Theorem 16.2 (Coverage lower bound): With coverage ρ and Lipschitz V,  inf_Δ V ≥ inf_S V − L*(1−ρ)*diam(Δ).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17) Calibration Protocol — (alpha, beta, gamma, T) from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Fit weights via NNLS: E[L] ≈ alpha*E[PARS] + beta*E[Gap] + gamma*E[Fragility].</w:t>
        <w:br w:type="textWrapping"/>
        <w:t xml:space="preserve">Theorem 17.1: NNLS preserves monotonicity ⇒ Harmony nonincreasing in risk components.</w:t>
        <w:br w:type="textWrapping"/>
        <w:t xml:space="preserve">Threshold T chosen by validation ROC; PAC-like bound with VC-dim d and n samples:</w:t>
        <w:br w:type="textWrapping"/>
        <w:t xml:space="preserve">  TrueError(T) ≤ EmpError(T) + O( sqrt( (d*log n + log(1/δ)) / n )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18) Complexity &amp; Runtime — Scaling Laws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Lifted UOE LP: polynomial time (interior-point or simplex).</w:t>
        <w:br w:type="textWrapping"/>
        <w:t xml:space="preserve">Portfolio GP: convex, ~O(p^3) with sparsity benefits.</w:t>
        <w:br w:type="textWrapping"/>
        <w:t xml:space="preserve">DRO duals: small multiplier dimension overhead.</w:t>
        <w:br w:type="textWrapping"/>
        <w:t xml:space="preserve">Multi-period: ~linear in T when separable; coupling adds convex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19) Implementation Correctness — Capsules, Numerics, Tolerances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Capsule: pinned container, code/weights/data digests, seeds, solver versions/tolerances.</w:t>
        <w:br w:type="textWrapping"/>
        <w:t xml:space="preserve">Theorem 19.1: Reproducibility up to epsilon for Lipschitz functionals with fixed tolerances.</w:t>
        <w:br w:type="textWrapping"/>
        <w:t xml:space="preserve">Guard against silent violations: interval arithmetic on guardrails; accept only if lower bound &gt;= 0.</w:t>
        <w:br w:type="textWrapping"/>
        <w:t xml:space="preserve">Theorem 19.2: Interval evaluation prevents false passes due to rounding.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20) Legal Alignment Appendix — ALARP &amp; Duty of Care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ALARP mapping: maximize H = (Benefit - Burden) - alpha*PARS - beta*Gap - gamma*Fragility implies mitigation increases until priced marginal risk reduction equals marginal burden.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Duties: Runtime (SoCPM), Ex-ante (SBOM Gate), Ex-post (Lineage/Blame landing). Together =&gt; measurable, auditable standard of care.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