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32"/>
        </w:rPr>
        <w:t>后处理报告参数内容汇总</w:t>
      </w:r>
    </w:p>
    <w:p>
      <w:pPr>
        <w:pStyle w:val="Heading2"/>
      </w:pPr>
      <w:r>
        <w:rPr>
          <w:rFonts w:ascii="宋体" w:hAnsi="宋体" w:eastAsia="宋体"/>
          <w:color w:val="000000"/>
          <w:sz w:val="32"/>
        </w:rPr>
        <w:t>一、参考依据</w:t>
      </w:r>
    </w:p>
    <w:p>
      <w:pPr>
        <w:pStyle w:val="Heading3"/>
      </w:pPr>
      <w:r>
        <w:rPr>
          <w:rFonts w:ascii="宋体" w:hAnsi="宋体" w:eastAsia="宋体"/>
          <w:color w:val="000000"/>
          <w:sz w:val="20"/>
        </w:rPr>
        <w:t>1.技术需求</w:t>
      </w:r>
    </w:p>
    <w:p>
      <w:pPr>
        <w:jc w:val="center"/>
      </w:pPr>
      <w:r>
        <w:drawing>
          <wp:inline xmlns:a="http://schemas.openxmlformats.org/drawingml/2006/main" xmlns:pic="http://schemas.openxmlformats.org/drawingml/2006/picture">
            <wp:extent cx="5715000" cy="2009570"/>
            <wp:docPr id="1" name="Picture 1"/>
            <wp:cNvGraphicFramePr>
              <a:graphicFrameLocks noChangeAspect="1"/>
            </wp:cNvGraphicFramePr>
            <a:graphic>
              <a:graphicData uri="http://schemas.openxmlformats.org/drawingml/2006/picture">
                <pic:pic>
                  <pic:nvPicPr>
                    <pic:cNvPr id="0" name="tech_requirement.png"/>
                    <pic:cNvPicPr/>
                  </pic:nvPicPr>
                  <pic:blipFill>
                    <a:blip r:embed="rId9"/>
                    <a:stretch>
                      <a:fillRect/>
                    </a:stretch>
                  </pic:blipFill>
                  <pic:spPr>
                    <a:xfrm>
                      <a:off x="0" y="0"/>
                      <a:ext cx="5715000" cy="2009570"/>
                    </a:xfrm>
                    <a:prstGeom prst="rect"/>
                  </pic:spPr>
                </pic:pic>
              </a:graphicData>
            </a:graphic>
          </wp:inline>
        </w:drawing>
      </w:r>
    </w:p>
    <w:p>
      <w:pPr>
        <w:pStyle w:val="Heading3"/>
      </w:pPr>
      <w:r>
        <w:rPr>
          <w:rFonts w:ascii="宋体" w:hAnsi="宋体" w:eastAsia="宋体"/>
          <w:color w:val="000000"/>
          <w:sz w:val="20"/>
        </w:rPr>
        <w:t>2.合同约定</w:t>
      </w:r>
    </w:p>
    <w:p>
      <w:r>
        <w:rPr>
          <w:rFonts w:ascii="宋体" w:hAnsi="宋体" w:eastAsia="宋体"/>
          <w:color w:val="000000"/>
          <w:sz w:val="16"/>
        </w:rPr>
        <w:t>1).软件接口方面,基于现有商业软件ansys fluent,Ensight开发;</w:t>
      </w:r>
    </w:p>
    <w:p>
      <w:r>
        <w:rPr>
          <w:rFonts w:ascii="宋体" w:hAnsi="宋体" w:eastAsia="宋体"/>
          <w:color w:val="000000"/>
          <w:sz w:val="16"/>
        </w:rPr>
        <w:t>2).实现作业计算自动监控，并在分析完成后自动进行结果分析输出;</w:t>
      </w:r>
    </w:p>
    <w:p>
      <w:r>
        <w:rPr>
          <w:rFonts w:ascii="宋体" w:hAnsi="宋体" w:eastAsia="宋体"/>
          <w:color w:val="000000"/>
          <w:sz w:val="16"/>
        </w:rPr>
        <w:t>3).实现分析报告自动输出,报告格式为word/pdf/ppt;</w:t>
      </w:r>
    </w:p>
    <w:p>
      <w:r>
        <w:rPr>
          <w:rFonts w:ascii="宋体" w:hAnsi="宋体" w:eastAsia="宋体"/>
          <w:color w:val="000000"/>
          <w:sz w:val="16"/>
        </w:rPr>
        <w:t>4).报告内容要求包括但不限于仿真需求中设置的工况条件,模型设置,数据曲线对比,云图等;</w:t>
      </w:r>
    </w:p>
    <w:p>
      <w:r>
        <w:rPr>
          <w:rFonts w:ascii="宋体" w:hAnsi="宋体" w:eastAsia="宋体"/>
          <w:color w:val="000000"/>
          <w:sz w:val="16"/>
        </w:rPr>
        <w:t>5).开发语言采用底层计算机语言，适用于Windows操作系统;</w:t>
      </w:r>
    </w:p>
    <w:p>
      <w:pPr>
        <w:pStyle w:val="Heading3"/>
      </w:pPr>
      <w:r>
        <w:rPr>
          <w:rFonts w:ascii="宋体" w:hAnsi="宋体" w:eastAsia="宋体"/>
          <w:color w:val="000000"/>
          <w:sz w:val="20"/>
        </w:rPr>
        <w:t>3.相关标准文件</w:t>
      </w:r>
    </w:p>
    <w:p>
      <w:r>
        <w:rPr>
          <w:rFonts w:ascii="宋体" w:hAnsi="宋体" w:eastAsia="宋体"/>
          <w:color w:val="000000"/>
          <w:sz w:val="16"/>
        </w:rPr>
        <w:t>仿真结果分析及可视化应符合以下要求</w:t>
      </w:r>
    </w:p>
    <w:p>
      <w:r>
        <w:rPr>
          <w:rFonts w:ascii="宋体" w:hAnsi="宋体" w:eastAsia="宋体"/>
          <w:color w:val="000000"/>
          <w:sz w:val="16"/>
        </w:rPr>
        <w:t>a) 系统仿真应能够进行工时、材料定额的计算和统计，辅助进行材料及人工成本分析</w:t>
      </w:r>
    </w:p>
    <w:p>
      <w:r>
        <w:rPr>
          <w:rFonts w:ascii="宋体" w:hAnsi="宋体" w:eastAsia="宋体"/>
          <w:color w:val="000000"/>
          <w:sz w:val="16"/>
        </w:rPr>
        <w:t>b) 系统仿真应根据不同的系统特点、仿真要求对仿真数据进行取舍分析，得到评价结果;</w:t>
      </w:r>
    </w:p>
    <w:p>
      <w:r>
        <w:rPr>
          <w:rFonts w:ascii="宋体" w:hAnsi="宋体" w:eastAsia="宋体"/>
          <w:color w:val="000000"/>
          <w:sz w:val="16"/>
        </w:rPr>
        <w:t>c) 应能通过汇总分析加工精度、设备利用率、加工方法、加工效率等信息，综合判断NC程序是否合理，辅助进行NC程序优化，并能对优化前后评价因素进行比对，分析或辅助分析改进情况;</w:t>
      </w:r>
    </w:p>
    <w:p>
      <w:r>
        <w:rPr>
          <w:rFonts w:ascii="宋体" w:hAnsi="宋体" w:eastAsia="宋体"/>
          <w:color w:val="000000"/>
          <w:sz w:val="16"/>
        </w:rPr>
        <w:t>d) 对于人体模型应能对工效分析结果进行分析，辅助进行人体操作改进，在进行优化改进时，应d能从姿态分析、视野分析、作业空间、工效分析等方面对比优化改进情况;</w:t>
      </w:r>
    </w:p>
    <w:p>
      <w:r>
        <w:rPr>
          <w:rFonts w:ascii="宋体" w:hAnsi="宋体" w:eastAsia="宋体"/>
          <w:color w:val="000000"/>
          <w:sz w:val="16"/>
        </w:rPr>
        <w:t>e) 生产线系统仿真结果评价应包含生产线瓶颈识别和分析，包括产生瓶颈的设备位置和程度，其指标有生产线的瓶颈率、等待队长、等待时间等:</w:t>
      </w:r>
    </w:p>
    <w:p>
      <w:r>
        <w:rPr>
          <w:rFonts w:ascii="宋体" w:hAnsi="宋体" w:eastAsia="宋体"/>
          <w:color w:val="000000"/>
          <w:sz w:val="16"/>
        </w:rPr>
        <w:t>f) 生产线系统仿真结果评价应包含车间产能分析，包括最大能力和负载率，其指标包括单位时间生产量、初始加工时间、设备利用率等;</w:t>
      </w:r>
    </w:p>
    <w:p>
      <w:r>
        <w:rPr>
          <w:rFonts w:ascii="宋体" w:hAnsi="宋体" w:eastAsia="宋体"/>
          <w:color w:val="000000"/>
          <w:sz w:val="16"/>
        </w:rPr>
        <w:t>f) 生产线系统仿真结果评价应包含车间产能分析，包括最大能力和负载率，其指标包括单位时间生产量、初始加工时间、设备利用率等;</w:t>
      </w:r>
    </w:p>
    <w:p>
      <w:r>
        <w:rPr>
          <w:rFonts w:ascii="宋体" w:hAnsi="宋体" w:eastAsia="宋体"/>
          <w:color w:val="000000"/>
          <w:sz w:val="16"/>
        </w:rPr>
        <w:t>g) 生产线系统仿真结果评价还应包含生产周期分析以及生产的人力需求分析;</w:t>
      </w:r>
    </w:p>
    <w:p>
      <w:pPr>
        <w:pStyle w:val="Heading2"/>
      </w:pPr>
      <w:r>
        <w:rPr>
          <w:rFonts w:ascii="宋体" w:hAnsi="宋体" w:eastAsia="宋体"/>
          <w:color w:val="000000"/>
          <w:sz w:val="32"/>
        </w:rPr>
        <w:t>二、后处理框架内容</w:t>
      </w:r>
    </w:p>
    <w:p>
      <w:pPr>
        <w:pStyle w:val="Heading3"/>
      </w:pPr>
      <w:r>
        <w:rPr>
          <w:rFonts w:ascii="宋体" w:hAnsi="宋体" w:eastAsia="宋体"/>
          <w:color w:val="000000"/>
          <w:sz w:val="20"/>
        </w:rPr>
        <w:t>1.输入参数</w:t>
      </w:r>
    </w:p>
    <w:p>
      <w:r>
        <w:rPr>
          <w:rFonts w:ascii="宋体" w:hAnsi="宋体" w:eastAsia="宋体"/>
          <w:b/>
          <w:color w:val="000000"/>
          <w:sz w:val="20"/>
        </w:rPr>
        <w:t>工况参数</w:t>
      </w:r>
    </w:p>
    <w:p>
      <w:r>
        <w:rPr>
          <w:rFonts w:ascii="宋体" w:hAnsi="宋体" w:eastAsia="宋体"/>
          <w:color w:val="000000"/>
          <w:sz w:val="20"/>
        </w:rPr>
        <w:t>壁面参数:None</w:t>
      </w:r>
    </w:p>
    <w:p>
      <w:r>
        <w:rPr>
          <w:rFonts w:ascii="宋体" w:hAnsi="宋体" w:eastAsia="宋体"/>
          <w:color w:val="000000"/>
          <w:sz w:val="20"/>
        </w:rPr>
        <w:t>入口参数:None</w:t>
      </w:r>
    </w:p>
    <w:p>
      <w:r>
        <w:rPr>
          <w:rFonts w:ascii="宋体" w:hAnsi="宋体" w:eastAsia="宋体"/>
          <w:color w:val="000000"/>
          <w:sz w:val="20"/>
        </w:rPr>
        <w:t>出口参数:None</w:t>
      </w:r>
    </w:p>
    <w:p>
      <w:r>
        <w:rPr>
          <w:rFonts w:ascii="宋体" w:hAnsi="宋体" w:eastAsia="宋体"/>
          <w:color w:val="000000"/>
          <w:sz w:val="20"/>
        </w:rPr>
        <w:t>加速度参数:None</w:t>
      </w:r>
    </w:p>
    <w:p>
      <w:r>
        <w:rPr>
          <w:rFonts w:ascii="宋体" w:hAnsi="宋体" w:eastAsia="宋体"/>
          <w:color w:val="000000"/>
          <w:sz w:val="20"/>
        </w:rPr>
        <w:t>液位参数:None</w:t>
      </w:r>
    </w:p>
    <w:p>
      <w:r>
        <w:rPr>
          <w:rFonts w:ascii="宋体" w:hAnsi="宋体" w:eastAsia="宋体"/>
          <w:color w:val="000000"/>
          <w:sz w:val="20"/>
        </w:rPr>
        <w:t>时间参数:None</w:t>
      </w:r>
    </w:p>
    <w:p>
      <w:r>
        <w:rPr>
          <w:rFonts w:ascii="宋体" w:hAnsi="宋体" w:eastAsia="宋体"/>
          <w:b/>
          <w:color w:val="000000"/>
          <w:sz w:val="20"/>
        </w:rPr>
        <w:t>编号参数</w:t>
      </w:r>
    </w:p>
    <w:p>
      <w:r>
        <w:rPr>
          <w:rFonts w:ascii="宋体" w:hAnsi="宋体" w:eastAsia="宋体"/>
          <w:color w:val="000000"/>
          <w:sz w:val="20"/>
        </w:rPr>
        <w:t>名称参数:None</w:t>
      </w:r>
    </w:p>
    <w:p>
      <w:r>
        <w:rPr>
          <w:rFonts w:ascii="宋体" w:hAnsi="宋体" w:eastAsia="宋体"/>
          <w:color w:val="000000"/>
          <w:sz w:val="20"/>
        </w:rPr>
        <w:t>编号参数:None</w:t>
      </w:r>
    </w:p>
    <w:p>
      <w:r>
        <w:rPr>
          <w:rFonts w:ascii="宋体" w:hAnsi="宋体" w:eastAsia="宋体"/>
          <w:b/>
          <w:color w:val="000000"/>
          <w:sz w:val="20"/>
        </w:rPr>
        <w:t>结构示意</w:t>
      </w:r>
    </w:p>
    <w:p>
      <w:pPr>
        <w:jc w:val="center"/>
      </w:pPr>
      <w:r>
        <w:drawing>
          <wp:inline xmlns:a="http://schemas.openxmlformats.org/drawingml/2006/main" xmlns:pic="http://schemas.openxmlformats.org/drawingml/2006/picture">
            <wp:extent cx="2057400" cy="1717929"/>
            <wp:docPr id="2" name="Picture 2"/>
            <wp:cNvGraphicFramePr>
              <a:graphicFrameLocks noChangeAspect="1"/>
            </wp:cNvGraphicFramePr>
            <a:graphic>
              <a:graphicData uri="http://schemas.openxmlformats.org/drawingml/2006/picture">
                <pic:pic>
                  <pic:nvPicPr>
                    <pic:cNvPr id="0" name="3dmodel.png"/>
                    <pic:cNvPicPr/>
                  </pic:nvPicPr>
                  <pic:blipFill>
                    <a:blip r:embed="rId10"/>
                    <a:stretch>
                      <a:fillRect/>
                    </a:stretch>
                  </pic:blipFill>
                  <pic:spPr>
                    <a:xfrm>
                      <a:off x="0" y="0"/>
                      <a:ext cx="2057400" cy="1717929"/>
                    </a:xfrm>
                    <a:prstGeom prst="rect"/>
                  </pic:spPr>
                </pic:pic>
              </a:graphicData>
            </a:graphic>
          </wp:inline>
        </w:drawing>
      </w:r>
    </w:p>
    <w:p>
      <w:pPr>
        <w:jc w:val="center"/>
      </w:pPr>
      <w:r>
        <w:rPr>
          <w:rFonts w:ascii="宋体" w:hAnsi="宋体" w:eastAsia="宋体"/>
          <w:color w:val="000000"/>
          <w:sz w:val="20"/>
        </w:rPr>
        <w:t>图1、三维模型</w:t>
      </w:r>
    </w:p>
    <w:p>
      <w:pPr>
        <w:jc w:val="center"/>
      </w:pPr>
      <w:r>
        <w:drawing>
          <wp:inline xmlns:a="http://schemas.openxmlformats.org/drawingml/2006/main" xmlns:pic="http://schemas.openxmlformats.org/drawingml/2006/picture">
            <wp:extent cx="3886200" cy="2185988"/>
            <wp:docPr id="3" name="Picture 3"/>
            <wp:cNvGraphicFramePr>
              <a:graphicFrameLocks noChangeAspect="1"/>
            </wp:cNvGraphicFramePr>
            <a:graphic>
              <a:graphicData uri="http://schemas.openxmlformats.org/drawingml/2006/picture">
                <pic:pic>
                  <pic:nvPicPr>
                    <pic:cNvPr id="0" name="section.png"/>
                    <pic:cNvPicPr/>
                  </pic:nvPicPr>
                  <pic:blipFill>
                    <a:blip r:embed="rId11"/>
                    <a:stretch>
                      <a:fillRect/>
                    </a:stretch>
                  </pic:blipFill>
                  <pic:spPr>
                    <a:xfrm>
                      <a:off x="0" y="0"/>
                      <a:ext cx="3886200" cy="2185988"/>
                    </a:xfrm>
                    <a:prstGeom prst="rect"/>
                  </pic:spPr>
                </pic:pic>
              </a:graphicData>
            </a:graphic>
          </wp:inline>
        </w:drawing>
      </w:r>
    </w:p>
    <w:p>
      <w:pPr>
        <w:jc w:val="center"/>
      </w:pPr>
      <w:r>
        <w:rPr>
          <w:rFonts w:ascii="宋体" w:hAnsi="宋体" w:eastAsia="宋体"/>
          <w:color w:val="000000"/>
          <w:sz w:val="20"/>
        </w:rPr>
        <w:t>图2、截面示意图</w:t>
      </w:r>
    </w:p>
    <w:p>
      <w:pPr>
        <w:pStyle w:val="Heading3"/>
      </w:pPr>
      <w:r>
        <w:rPr>
          <w:rFonts w:ascii="宋体" w:hAnsi="宋体" w:eastAsia="宋体"/>
          <w:color w:val="000000"/>
          <w:sz w:val="20"/>
        </w:rPr>
        <w:t>2.监测参数</w:t>
      </w:r>
    </w:p>
    <w:p>
      <w:r>
        <w:rPr>
          <w:rFonts w:ascii="宋体" w:hAnsi="宋体" w:eastAsia="宋体"/>
          <w:b/>
          <w:color w:val="000000"/>
          <w:sz w:val="20"/>
        </w:rPr>
        <w:t>截面参数</w:t>
      </w:r>
    </w:p>
    <w:p>
      <w:pPr>
        <w:jc w:val="center"/>
      </w:pPr>
      <w:r>
        <w:drawing>
          <wp:inline xmlns:a="http://schemas.openxmlformats.org/drawingml/2006/main" xmlns:pic="http://schemas.openxmlformats.org/drawingml/2006/picture">
            <wp:extent cx="3886200" cy="2844800"/>
            <wp:docPr id="4" name="Picture 4"/>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图3、xz截面平均压力——时间图(Y轴)</w:t>
      </w:r>
    </w:p>
    <w:p>
      <w:pPr>
        <w:jc w:val="center"/>
      </w:pPr>
      <w:r>
        <w:drawing>
          <wp:inline xmlns:a="http://schemas.openxmlformats.org/drawingml/2006/main" xmlns:pic="http://schemas.openxmlformats.org/drawingml/2006/picture">
            <wp:extent cx="3886200" cy="2844800"/>
            <wp:docPr id="5" name="Picture 5"/>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图4、xz截面平均温度——时间图(Y轴)</w:t>
      </w:r>
    </w:p>
    <w:p>
      <w:pPr>
        <w:jc w:val="center"/>
      </w:pPr>
      <w:r>
        <w:drawing>
          <wp:inline xmlns:a="http://schemas.openxmlformats.org/drawingml/2006/main" xmlns:pic="http://schemas.openxmlformats.org/drawingml/2006/picture">
            <wp:extent cx="3886200" cy="2844800"/>
            <wp:docPr id="6" name="Picture 6"/>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图5、yz截面平均温度——时间图(Y轴)</w:t>
      </w:r>
    </w:p>
    <w:p>
      <w:pPr>
        <w:jc w:val="center"/>
      </w:pPr>
      <w:r>
        <w:drawing>
          <wp:inline xmlns:a="http://schemas.openxmlformats.org/drawingml/2006/main" xmlns:pic="http://schemas.openxmlformats.org/drawingml/2006/picture">
            <wp:extent cx="3886200" cy="2844800"/>
            <wp:docPr id="7" name="Picture 7"/>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图6、yz截面平均压力——时间图(Y轴)</w:t>
      </w:r>
    </w:p>
    <w:p>
      <w:r>
        <w:rPr>
          <w:rFonts w:ascii="宋体" w:hAnsi="宋体" w:eastAsia="宋体"/>
          <w:b/>
          <w:color w:val="000000"/>
          <w:sz w:val="20"/>
        </w:rPr>
        <w:t>体积参数</w:t>
      </w:r>
    </w:p>
    <w:p>
      <w:pPr>
        <w:jc w:val="center"/>
      </w:pPr>
      <w:r>
        <w:drawing>
          <wp:inline xmlns:a="http://schemas.openxmlformats.org/drawingml/2006/main" xmlns:pic="http://schemas.openxmlformats.org/drawingml/2006/picture">
            <wp:extent cx="3886200" cy="2844800"/>
            <wp:docPr id="8" name="Picture 8"/>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图7、液体体积——时间图(Y轴)</w:t>
      </w:r>
    </w:p>
    <w:p>
      <w:pPr>
        <w:jc w:val="center"/>
      </w:pPr>
      <w:r>
        <w:drawing>
          <wp:inline xmlns:a="http://schemas.openxmlformats.org/drawingml/2006/main" xmlns:pic="http://schemas.openxmlformats.org/drawingml/2006/picture">
            <wp:extent cx="3886200" cy="2844800"/>
            <wp:docPr id="9" name="Picture 9"/>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图8、液体质量——时间图(Y轴)</w:t>
      </w:r>
    </w:p>
    <w:p>
      <w:pPr>
        <w:jc w:val="center"/>
      </w:pPr>
      <w:r>
        <w:drawing>
          <wp:inline xmlns:a="http://schemas.openxmlformats.org/drawingml/2006/main" xmlns:pic="http://schemas.openxmlformats.org/drawingml/2006/picture">
            <wp:extent cx="3886200" cy="2844800"/>
            <wp:docPr id="10" name="Picture 10"/>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图9、气体体积——时间图(Y轴)</w:t>
      </w:r>
    </w:p>
    <w:p>
      <w:pPr>
        <w:jc w:val="center"/>
      </w:pPr>
      <w:r>
        <w:drawing>
          <wp:inline xmlns:a="http://schemas.openxmlformats.org/drawingml/2006/main" xmlns:pic="http://schemas.openxmlformats.org/drawingml/2006/picture">
            <wp:extent cx="3886200" cy="2844800"/>
            <wp:docPr id="11" name="Picture 11"/>
            <wp:cNvGraphicFramePr>
              <a:graphicFrameLocks noChangeAspect="1"/>
            </wp:cNvGraphicFramePr>
            <a:graphic>
              <a:graphicData uri="http://schemas.openxmlformats.org/drawingml/2006/picture">
                <p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w:pPr>
        <w:jc w:val="center"/>
      </w:pPr>
      <w:r>
        <w:rPr>
          <w:rFonts w:ascii="宋体" w:hAnsi="宋体" w:eastAsia="宋体"/>
          <w:color w:val="000000"/>
          <w:sz w:val="20"/>
        </w:rPr>
        <w:t>图10、气体质量——时间图(Y轴)</w:t>
      </w:r>
    </w:p>
    <w:p>
      <w:pPr>
        <w:pStyle w:val="Heading3"/>
      </w:pPr>
      <w:r>
        <w:rPr>
          <w:rFonts w:ascii="宋体" w:hAnsi="宋体" w:eastAsia="宋体"/>
          <w:color w:val="000000"/>
          <w:sz w:val="20"/>
        </w:rPr>
        <w:t>3. 图片显示(模型)</w:t>
      </w:r>
    </w:p>
    <w:p>
      <w:r>
        <w:rPr>
          <w:rFonts w:ascii="宋体" w:hAnsi="宋体" w:eastAsia="宋体"/>
          <w:b/>
          <w:color w:val="000000"/>
          <w:sz w:val="20"/>
        </w:rPr>
        <w:t>侧视云图</w:t>
      </w:r>
    </w:p>
    <w:p>
      <w:pPr>
        <w:jc w:val="center"/>
      </w:pPr>
      <w:r>
        <w:drawing>
          <wp:inline xmlns:a="http://schemas.openxmlformats.org/drawingml/2006/main" xmlns:pic="http://schemas.openxmlformats.org/drawingml/2006/picture">
            <wp:extent cx="2971800" cy="2518161"/>
            <wp:docPr id="12" name="Picture 12"/>
            <wp:cNvGraphicFramePr>
              <a:graphicFrameLocks noChangeAspect="1"/>
            </wp:cNvGraphicFramePr>
            <a:graphic>
              <a:graphicData uri="http://schemas.openxmlformats.org/drawingml/2006/picture">
                <pic:pic>
                  <pic:nvPicPr>
                    <pic:cNvPr id="0" name="last_pre_conture.png"/>
                    <pic:cNvPicPr/>
                  </pic:nvPicPr>
                  <pic:blipFill>
                    <a:blip r:embed="rId13"/>
                    <a:stretch>
                      <a:fillRect/>
                    </a:stretch>
                  </pic:blipFill>
                  <pic:spPr>
                    <a:xfrm>
                      <a:off x="0" y="0"/>
                      <a:ext cx="2971800" cy="2518161"/>
                    </a:xfrm>
                    <a:prstGeom prst="rect"/>
                  </pic:spPr>
                </pic:pic>
              </a:graphicData>
            </a:graphic>
          </wp:inline>
        </w:drawing>
      </w:r>
    </w:p>
    <w:p>
      <w:pPr>
        <w:jc w:val="center"/>
      </w:pPr>
      <w:r>
        <w:rPr>
          <w:rFonts w:ascii="宋体" w:hAnsi="宋体" w:eastAsia="宋体"/>
          <w:color w:val="000000"/>
          <w:sz w:val="20"/>
        </w:rPr>
        <w:t>图11、压力云图图片—终止时刻</w:t>
      </w:r>
    </w:p>
    <w:p>
      <w:pPr>
        <w:jc w:val="center"/>
      </w:pPr>
      <w:r>
        <w:drawing>
          <wp:inline xmlns:a="http://schemas.openxmlformats.org/drawingml/2006/main" xmlns:pic="http://schemas.openxmlformats.org/drawingml/2006/picture">
            <wp:extent cx="2971800" cy="2518161"/>
            <wp:docPr id="13" name="Picture 13"/>
            <wp:cNvGraphicFramePr>
              <a:graphicFrameLocks noChangeAspect="1"/>
            </wp:cNvGraphicFramePr>
            <a:graphic>
              <a:graphicData uri="http://schemas.openxmlformats.org/drawingml/2006/picture">
                <pic:pic>
                  <pic:nvPicPr>
                    <pic:cNvPr id="0" name="last_pre_conture.png"/>
                    <pic:cNvPicPr/>
                  </pic:nvPicPr>
                  <pic:blipFill>
                    <a:blip r:embed="rId13"/>
                    <a:stretch>
                      <a:fillRect/>
                    </a:stretch>
                  </pic:blipFill>
                  <pic:spPr>
                    <a:xfrm>
                      <a:off x="0" y="0"/>
                      <a:ext cx="2971800" cy="2518161"/>
                    </a:xfrm>
                    <a:prstGeom prst="rect"/>
                  </pic:spPr>
                </pic:pic>
              </a:graphicData>
            </a:graphic>
          </wp:inline>
        </w:drawing>
      </w:r>
    </w:p>
    <w:p>
      <w:pPr>
        <w:jc w:val="center"/>
      </w:pPr>
      <w:r>
        <w:rPr>
          <w:rFonts w:ascii="宋体" w:hAnsi="宋体" w:eastAsia="宋体"/>
          <w:color w:val="000000"/>
          <w:sz w:val="20"/>
        </w:rPr>
        <w:t>图12、液位云图图片—终止时刻</w:t>
      </w:r>
    </w:p>
    <w:p>
      <w:pPr>
        <w:pStyle w:val="Heading2"/>
      </w:pPr>
      <w:r>
        <w:rPr>
          <w:rFonts w:ascii="宋体" w:hAnsi="宋体" w:eastAsia="宋体"/>
          <w:color w:val="000000"/>
          <w:sz w:val="32"/>
        </w:rPr>
        <w:t>三、结果分析</w:t>
      </w:r>
    </w:p>
    <w:p>
      <w:pPr>
        <w:pStyle w:val="ListNumber"/>
      </w:pPr>
      <w:r>
        <w:rPr>
          <w:rFonts w:ascii="宋体" w:hAnsi="宋体" w:eastAsia="宋体"/>
          <w:color w:val="000000"/>
          <w:sz w:val="20"/>
        </w:rPr>
        <w:t>计算结果分析</w:t>
      </w:r>
    </w:p>
    <w:p>
      <w:pPr>
        <w:jc w:val="center"/>
      </w:pPr>
      <w:r>
        <w:rPr>
          <w:rFonts w:ascii="宋体" w:hAnsi="宋体" w:eastAsia="宋体"/>
          <w:sz w:val="16"/>
        </w:rPr>
        <w:t>表1、升压速率分析——截面平均压力变化速率</w:t>
      </w:r>
    </w:p>
    <w:tbl>
      <w:tblPr>
        <w:tblStyle w:val="TableGrid"/>
        <w:tblW w:type="auto" w:w="0"/>
        <w:tblLook w:firstColumn="1" w:firstRow="1" w:lastColumn="0" w:lastRow="0" w:noHBand="0" w:noVBand="1" w:val="04A0"/>
      </w:tblPr>
      <w:tblGrid>
        <w:gridCol w:w="4320"/>
        <w:gridCol w:w="4320"/>
      </w:tblGrid>
      <w:tr>
        <w:tc>
          <w:tcPr>
            <w:tcW w:type="dxa" w:w="4320"/>
            <w:tcBorders>
              <w:left w:color="000000"/>
              <w:top w:sz="16" w:val="single" w:color="000000"/>
              <w:right w:val="single" w:color="000000"/>
              <w:bottom w:color="FF0000"/>
            </w:tcBorders>
          </w:tcPr>
          <w:p>
            <w:pPr>
              <w:jc w:val="center"/>
            </w:pPr>
          </w:p>
        </w:tc>
        <w:tc>
          <w:tcPr>
            <w:tcW w:type="dxa" w:w="4320"/>
            <w:tcBorders>
              <w:left w:val="single" w:color="000000"/>
              <w:top w:sz="16" w:val="single" w:color="000000"/>
              <w:right w:color="000000"/>
              <w:bottom w:color="FF0000"/>
            </w:tcBorders>
          </w:tcPr>
          <w:p>
            <w:pPr>
              <w:jc w:val="center"/>
            </w:pPr>
            <w:r>
              <w:t>截面平均升压速率Pa/s</w:t>
            </w:r>
          </w:p>
        </w:tc>
      </w:tr>
      <w:tr>
        <w:tc>
          <w:tcPr>
            <w:tcW w:type="dxa" w:w="4320"/>
            <w:tcBorders>
              <w:left w:color="000000"/>
              <w:top w:sz="16" w:val="single" w:color="000000"/>
              <w:right w:val="single" w:color="000000"/>
              <w:bottom w:color="FF0000"/>
            </w:tcBorders>
          </w:tcPr>
          <w:p>
            <w:pPr>
              <w:jc w:val="center"/>
            </w:pPr>
            <w:r>
              <w:t>截面1</w:t>
            </w:r>
          </w:p>
        </w:tc>
        <w:tc>
          <w:tcPr>
            <w:tcW w:type="dxa" w:w="4320"/>
            <w:tcBorders>
              <w:left w:val="single" w:color="000000"/>
              <w:top w:sz="16" w:val="single" w:color="000000"/>
              <w:right w:color="000000"/>
              <w:bottom w:color="FF0000"/>
            </w:tcBorders>
          </w:tcPr>
          <w:p>
            <w:pPr>
              <w:jc w:val="center"/>
            </w:pPr>
            <w:r>
              <w:t>1</w:t>
            </w:r>
          </w:p>
        </w:tc>
      </w:tr>
      <w:tr>
        <w:tc>
          <w:tcPr>
            <w:tcW w:type="dxa" w:w="4320"/>
            <w:tcBorders>
              <w:left w:color="000000"/>
              <w:top w:color="FF0000"/>
              <w:right w:val="single" w:color="000000"/>
              <w:bottom w:sz="16" w:color="000000"/>
            </w:tcBorders>
          </w:tcPr>
          <w:p>
            <w:pPr>
              <w:jc w:val="center"/>
            </w:pPr>
            <w:r>
              <w:t>截面2</w:t>
            </w:r>
          </w:p>
        </w:tc>
        <w:tc>
          <w:tcPr>
            <w:tcW w:type="dxa" w:w="4320"/>
            <w:tcBorders>
              <w:left w:color="000000"/>
              <w:top w:sz="16" w:color="000000"/>
              <w:right w:color="000000"/>
              <w:bottom w:color="FF0000"/>
            </w:tcBorders>
          </w:tcPr>
          <w:p>
            <w:pPr>
              <w:jc w:val="center"/>
            </w:pPr>
            <w:r>
              <w:t>2</w:t>
            </w:r>
          </w:p>
        </w:tc>
      </w:tr>
      <w:tr>
        <w:tc>
          <w:tcPr>
            <w:tcW w:type="dxa" w:w="4320"/>
            <w:tcBorders>
              <w:left w:color="000000"/>
              <w:top w:color="FF0000"/>
              <w:right w:val="single" w:color="000000"/>
              <w:bottom w:sz="16" w:color="000000"/>
            </w:tcBorders>
          </w:tcPr>
          <w:p>
            <w:pPr>
              <w:jc w:val="center"/>
            </w:pPr>
            <w:r>
              <w:t>截面3</w:t>
            </w:r>
          </w:p>
        </w:tc>
        <w:tc>
          <w:tcPr>
            <w:tcW w:type="dxa" w:w="4320"/>
            <w:tcBorders>
              <w:left w:color="000000"/>
              <w:top w:sz="16" w:color="000000"/>
              <w:right w:color="000000"/>
              <w:bottom w:color="FF0000"/>
            </w:tcBorders>
          </w:tcPr>
          <w:p>
            <w:pPr>
              <w:jc w:val="center"/>
            </w:pPr>
            <w:r>
              <w:t>3</w:t>
            </w:r>
          </w:p>
        </w:tc>
      </w:tr>
      <w:tr>
        <w:tc>
          <w:tcPr>
            <w:tcW w:type="dxa" w:w="4320"/>
            <w:tcBorders>
              <w:left w:color="000000"/>
              <w:top w:color="FF0000"/>
              <w:right w:val="single" w:color="000000"/>
              <w:bottom w:sz="16" w:val="single" w:color="000000"/>
            </w:tcBorders>
          </w:tcPr>
          <w:p>
            <w:pPr>
              <w:jc w:val="center"/>
            </w:pPr>
            <w:r>
              <w:t>截面4</w:t>
            </w:r>
          </w:p>
        </w:tc>
        <w:tc>
          <w:tcPr>
            <w:tcW w:type="dxa" w:w="4320"/>
            <w:tcBorders>
              <w:left w:val="single" w:color="000000"/>
              <w:top w:sz="16" w:color="000000"/>
              <w:right w:color="000000"/>
              <w:bottom w:sz="16" w:val="single" w:color="000000"/>
            </w:tcBorders>
          </w:tcPr>
          <w:p>
            <w:pPr>
              <w:jc w:val="center"/>
            </w:pPr>
            <w:r>
              <w:t>5</w:t>
            </w:r>
          </w:p>
        </w:tc>
      </w:tr>
    </w:tbl>
    <w:p>
      <w:pPr>
        <w:jc w:val="center"/>
      </w:pPr>
      <w:r>
        <w:rPr>
          <w:rFonts w:ascii="宋体" w:hAnsi="宋体" w:eastAsia="宋体"/>
          <w:sz w:val="16"/>
        </w:rPr>
        <w:t>表2、维持时间分析——最大压力（设定值）/升压速率</w:t>
      </w:r>
    </w:p>
    <w:tbl>
      <w:tblPr>
        <w:tblStyle w:val="TableGrid"/>
        <w:tblW w:type="auto" w:w="0"/>
        <w:tblLook w:firstColumn="1" w:firstRow="1" w:lastColumn="0" w:lastRow="0" w:noHBand="0" w:noVBand="1" w:val="04A0"/>
      </w:tblPr>
      <w:tblGrid>
        <w:gridCol w:w="2880"/>
        <w:gridCol w:w="2880"/>
        <w:gridCol w:w="2880"/>
      </w:tblGrid>
      <w:tr>
        <w:tc>
          <w:tcPr>
            <w:tcW w:type="dxa" w:w="2880"/>
            <w:tcBorders>
              <w:left w:color="000000"/>
              <w:top w:sz="16" w:val="single" w:color="000000"/>
              <w:right w:val="single" w:color="000000"/>
              <w:bottom w:color="FF0000"/>
            </w:tcBorders>
          </w:tcPr>
          <w:p>
            <w:pPr>
              <w:jc w:val="center"/>
            </w:pPr>
          </w:p>
        </w:tc>
        <w:tc>
          <w:tcPr>
            <w:tcW w:type="dxa" w:w="2880"/>
            <w:tcBorders>
              <w:left w:val="single" w:color="000000"/>
              <w:top w:sz="16" w:val="single" w:color="000000"/>
              <w:right w:val="single" w:color="000000"/>
              <w:bottom w:color="FF0000"/>
            </w:tcBorders>
          </w:tcPr>
          <w:p>
            <w:pPr>
              <w:jc w:val="center"/>
            </w:pPr>
            <w:r>
              <w:t>维持时间t</w:t>
            </w:r>
          </w:p>
        </w:tc>
        <w:tc>
          <w:tcPr>
            <w:tcW w:type="dxa" w:w="2880"/>
            <w:tcBorders>
              <w:left w:val="single" w:color="000000"/>
              <w:top w:sz="16" w:val="single" w:color="000000"/>
              <w:right w:color="000000"/>
              <w:bottom w:color="FF0000"/>
            </w:tcBorders>
          </w:tcPr>
          <w:p>
            <w:pPr>
              <w:jc w:val="center"/>
            </w:pPr>
            <w:r>
              <w:t>初始时刻截面平均压力Pa</w:t>
            </w:r>
          </w:p>
        </w:tc>
      </w:tr>
      <w:tr>
        <w:tc>
          <w:tcPr>
            <w:tcW w:type="dxa" w:w="2880"/>
            <w:tcBorders>
              <w:left w:color="000000"/>
              <w:top w:sz="16" w:val="single" w:color="000000"/>
              <w:right w:val="single" w:color="000000"/>
              <w:bottom w:color="FF0000"/>
            </w:tcBorders>
          </w:tcPr>
          <w:p>
            <w:pPr>
              <w:jc w:val="center"/>
            </w:pPr>
            <w:r>
              <w:t>截面1</w:t>
            </w:r>
          </w:p>
        </w:tc>
        <w:tc>
          <w:tcPr>
            <w:tcW w:type="dxa" w:w="2880"/>
            <w:tcBorders>
              <w:left w:val="single" w:color="000000"/>
              <w:top w:sz="16" w:val="single" w:color="000000"/>
              <w:right w:val="single" w:color="000000"/>
              <w:bottom w:color="FF0000"/>
            </w:tcBorders>
          </w:tcPr>
          <w:p>
            <w:pPr>
              <w:jc w:val="center"/>
            </w:pPr>
            <w:r>
              <w:t>1</w:t>
            </w:r>
          </w:p>
        </w:tc>
        <w:tc>
          <w:tcPr>
            <w:tcW w:type="dxa" w:w="2880"/>
            <w:tcBorders>
              <w:left w:val="single" w:color="000000"/>
              <w:top w:sz="16" w:val="single" w:color="000000"/>
              <w:right w:color="000000"/>
              <w:bottom w:color="FF0000"/>
            </w:tcBorders>
          </w:tcPr>
          <w:p>
            <w:pPr>
              <w:jc w:val="center"/>
            </w:pPr>
            <w:r>
              <w:t>1</w:t>
            </w:r>
          </w:p>
        </w:tc>
      </w:tr>
      <w:tr>
        <w:tc>
          <w:tcPr>
            <w:tcW w:type="dxa" w:w="2880"/>
            <w:tcBorders>
              <w:left w:color="000000"/>
              <w:top w:color="FF0000"/>
              <w:right w:val="single" w:color="000000"/>
              <w:bottom w:sz="16" w:color="000000"/>
            </w:tcBorders>
          </w:tcPr>
          <w:p>
            <w:pPr>
              <w:jc w:val="center"/>
            </w:pPr>
            <w:r>
              <w:t>截面2</w:t>
            </w:r>
          </w:p>
        </w:tc>
        <w:tc>
          <w:tcPr>
            <w:tcW w:type="dxa" w:w="2880"/>
            <w:tcBorders>
              <w:left w:color="000000"/>
              <w:top w:sz="16" w:color="000000"/>
              <w:right w:val="single" w:color="000000"/>
              <w:bottom w:color="FF0000"/>
            </w:tcBorders>
          </w:tcPr>
          <w:p>
            <w:pPr>
              <w:jc w:val="center"/>
            </w:pPr>
            <w:r>
              <w:t>2</w:t>
            </w:r>
          </w:p>
        </w:tc>
        <w:tc>
          <w:tcPr>
            <w:tcW w:type="dxa" w:w="2880"/>
            <w:tcBorders>
              <w:left w:color="000000"/>
              <w:top w:sz="16" w:color="000000"/>
              <w:right w:color="000000"/>
              <w:bottom w:color="FF0000"/>
            </w:tcBorders>
          </w:tcPr>
          <w:p>
            <w:pPr>
              <w:jc w:val="center"/>
            </w:pPr>
            <w:r>
              <w:t>2</w:t>
            </w:r>
          </w:p>
        </w:tc>
      </w:tr>
      <w:tr>
        <w:tc>
          <w:tcPr>
            <w:tcW w:type="dxa" w:w="2880"/>
            <w:tcBorders>
              <w:left w:color="000000"/>
              <w:top w:color="FF0000"/>
              <w:right w:val="single" w:color="000000"/>
              <w:bottom w:sz="16" w:color="000000"/>
            </w:tcBorders>
          </w:tcPr>
          <w:p>
            <w:pPr>
              <w:jc w:val="center"/>
            </w:pPr>
            <w:r>
              <w:t>截面3</w:t>
            </w:r>
          </w:p>
        </w:tc>
        <w:tc>
          <w:tcPr>
            <w:tcW w:type="dxa" w:w="2880"/>
            <w:tcBorders>
              <w:left w:color="000000"/>
              <w:top w:sz="16" w:color="000000"/>
              <w:right w:val="single" w:color="000000"/>
              <w:bottom w:color="FF0000"/>
            </w:tcBorders>
          </w:tcPr>
          <w:p>
            <w:pPr>
              <w:jc w:val="center"/>
            </w:pPr>
            <w:r>
              <w:t>3</w:t>
            </w:r>
          </w:p>
        </w:tc>
        <w:tc>
          <w:tcPr>
            <w:tcW w:type="dxa" w:w="2880"/>
            <w:tcBorders>
              <w:left w:color="000000"/>
              <w:top w:sz="16" w:color="000000"/>
              <w:right w:color="000000"/>
              <w:bottom w:color="FF0000"/>
            </w:tcBorders>
          </w:tcPr>
          <w:p>
            <w:pPr>
              <w:jc w:val="center"/>
            </w:pPr>
            <w:r>
              <w:t>3</w:t>
            </w:r>
          </w:p>
        </w:tc>
      </w:tr>
      <w:tr>
        <w:tc>
          <w:tcPr>
            <w:tcW w:type="dxa" w:w="2880"/>
            <w:tcBorders>
              <w:left w:color="000000"/>
              <w:top w:color="FF0000"/>
              <w:right w:val="single" w:color="000000"/>
              <w:bottom w:sz="16" w:val="single" w:color="000000"/>
            </w:tcBorders>
          </w:tcPr>
          <w:p>
            <w:pPr>
              <w:jc w:val="center"/>
            </w:pPr>
            <w:r>
              <w:t>截面4</w:t>
            </w:r>
          </w:p>
        </w:tc>
        <w:tc>
          <w:tcPr>
            <w:tcW w:type="dxa" w:w="2880"/>
            <w:tcBorders>
              <w:left w:val="single" w:color="000000"/>
              <w:top w:sz="16" w:color="000000"/>
              <w:right w:val="single" w:color="000000"/>
              <w:bottom w:sz="16" w:val="single" w:color="000000"/>
            </w:tcBorders>
          </w:tcPr>
          <w:p>
            <w:pPr>
              <w:jc w:val="center"/>
            </w:pPr>
            <w:r>
              <w:t>5</w:t>
            </w:r>
          </w:p>
        </w:tc>
        <w:tc>
          <w:tcPr>
            <w:tcW w:type="dxa" w:w="2880"/>
            <w:tcBorders>
              <w:left w:val="single" w:color="000000"/>
              <w:top w:sz="16" w:color="000000"/>
              <w:right w:color="000000"/>
              <w:bottom w:sz="16" w:val="single" w:color="000000"/>
            </w:tcBorders>
          </w:tcPr>
          <w:p>
            <w:pPr>
              <w:jc w:val="center"/>
            </w:pPr>
            <w:r>
              <w:t>5</w:t>
            </w:r>
          </w:p>
        </w:tc>
      </w:tr>
    </w:tbl>
    <w:p>
      <w:pPr>
        <w:pStyle w:val="ListNumber"/>
      </w:pPr>
      <w:r>
        <w:rPr>
          <w:rFonts w:ascii="宋体" w:hAnsi="宋体" w:eastAsia="宋体"/>
          <w:color w:val="000000"/>
          <w:sz w:val="20"/>
        </w:rPr>
        <w:t>计算分析</w:t>
      </w:r>
    </w:p>
    <w:p>
      <w:r>
        <w:rPr>
          <w:rFonts w:ascii="宋体" w:hAnsi="宋体" w:eastAsia="宋体"/>
          <w:color w:val="000000"/>
          <w:sz w:val="20"/>
        </w:rPr>
        <w:t>计算时长12s</w:t>
      </w:r>
    </w:p>
    <w:p>
      <w:pPr>
        <w:pStyle w:val="Heading2"/>
      </w:pPr>
      <w:r>
        <w:rPr>
          <w:rFonts w:ascii="宋体" w:hAnsi="宋体" w:eastAsia="宋体"/>
          <w:color w:val="000000"/>
          <w:sz w:val="32"/>
        </w:rPr>
        <w:t>四、报告总结</w:t>
      </w:r>
    </w:p>
    <w:p>
      <w:r>
        <w:rPr>
          <w:rFonts w:ascii="宋体" w:hAnsi="宋体" w:eastAsia="宋体"/>
          <w:color w:val="000000"/>
          <w:sz w:val="20"/>
        </w:rPr>
        <w:t>报告名称:20240210_215030</w:t>
      </w:r>
    </w:p>
    <w:p>
      <w:r>
        <w:rPr>
          <w:rFonts w:ascii="宋体" w:hAnsi="宋体" w:eastAsia="宋体"/>
          <w:color w:val="000000"/>
          <w:sz w:val="20"/>
        </w:rPr>
        <w:t>计算结论:计算顺利完成，储罐。。。。。。。。。。。。。</w:t>
      </w:r>
    </w:p>
    <w:p>
      <w:r>
        <w:rPr>
          <w:rFonts w:ascii="宋体" w:hAnsi="宋体" w:eastAsia="宋体"/>
          <w:color w:val="000000"/>
          <w:sz w:val="20"/>
        </w:rPr>
        <w:t>编写:computer auto writer</w:t>
      </w:r>
    </w:p>
    <w:p>
      <w:r>
        <w:rPr>
          <w:rFonts w:ascii="宋体" w:hAnsi="宋体" w:eastAsia="宋体"/>
          <w:color w:val="000000"/>
          <w:sz w:val="20"/>
        </w:rPr>
        <w:t>编写:高建秋</w:t>
      </w:r>
    </w:p>
    <w:p>
      <w:r>
        <w:rPr>
          <w:rFonts w:ascii="宋体" w:hAnsi="宋体" w:eastAsia="宋体"/>
          <w:color w:val="000000"/>
          <w:sz w:val="20"/>
        </w:rPr>
        <w:t>审核:高建秋</w:t>
      </w:r>
    </w:p>
    <w:p>
      <w:r>
        <w:rPr>
          <w:rFonts w:ascii="宋体" w:hAnsi="宋体" w:eastAsia="宋体"/>
          <w:color w:val="000000"/>
          <w:sz w:val="20"/>
        </w:rPr>
        <w:t>日期:2024-02-03 09:02:47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