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8C" w:rsidRDefault="00E86B8C"/>
    <w:p w:rsidR="00237C8E" w:rsidRPr="00E668C0" w:rsidRDefault="00BE4000">
      <w:r w:rsidRPr="00237C8E">
        <w:rPr>
          <w:b/>
        </w:rPr>
        <w:t>Objective</w:t>
      </w:r>
      <w:r>
        <w:t>: Determine ‘</w:t>
      </w:r>
      <w:proofErr w:type="spellStart"/>
      <w:r>
        <w:t>degradative</w:t>
      </w:r>
      <w:proofErr w:type="spellEnd"/>
      <w:r>
        <w:t xml:space="preserve"> potential’</w:t>
      </w:r>
      <w:r w:rsidR="003908FE">
        <w:t xml:space="preserve"> of </w:t>
      </w:r>
      <w:r w:rsidR="00BC0C16">
        <w:t xml:space="preserve">pore waters from different </w:t>
      </w:r>
      <w:r w:rsidR="00237C8E">
        <w:t xml:space="preserve">sized pores using select species of fungi and bacteria. </w:t>
      </w:r>
    </w:p>
    <w:p w:rsidR="004F5ADD" w:rsidRDefault="00237C8E">
      <w:r w:rsidRPr="00237C8E">
        <w:rPr>
          <w:b/>
        </w:rPr>
        <w:t>Approach</w:t>
      </w:r>
      <w:r>
        <w:t xml:space="preserve">: </w:t>
      </w:r>
    </w:p>
    <w:p w:rsidR="00237C8E" w:rsidRDefault="00237C8E" w:rsidP="00237C8E">
      <w:pPr>
        <w:pStyle w:val="ListParagraph"/>
        <w:numPr>
          <w:ilvl w:val="0"/>
          <w:numId w:val="1"/>
        </w:numPr>
        <w:ind w:left="1080"/>
      </w:pPr>
      <w:r>
        <w:t>Inoculate pore water with various strains of common soil microbes and incubate.</w:t>
      </w:r>
    </w:p>
    <w:p w:rsidR="00237C8E" w:rsidRDefault="00237C8E" w:rsidP="00237C8E">
      <w:pPr>
        <w:pStyle w:val="ListParagraph"/>
        <w:numPr>
          <w:ilvl w:val="0"/>
          <w:numId w:val="1"/>
        </w:numPr>
        <w:ind w:left="1080"/>
      </w:pPr>
      <w:r>
        <w:t>Measure CO2</w:t>
      </w:r>
      <w:r w:rsidR="0003179B">
        <w:t xml:space="preserve"> throughout incubation</w:t>
      </w:r>
      <w:r>
        <w:t xml:space="preserve">  </w:t>
      </w:r>
    </w:p>
    <w:p w:rsidR="00237C8E" w:rsidRDefault="00237C8E" w:rsidP="00237C8E">
      <w:pPr>
        <w:pStyle w:val="ListParagraph"/>
        <w:numPr>
          <w:ilvl w:val="0"/>
          <w:numId w:val="1"/>
        </w:numPr>
        <w:ind w:left="1080"/>
      </w:pPr>
      <w:r>
        <w:t xml:space="preserve">Measure C </w:t>
      </w:r>
      <w:r w:rsidR="00A157DE">
        <w:t>content (DOC/DON) and C profile (</w:t>
      </w:r>
      <w:r>
        <w:t xml:space="preserve">FTICR) pre and post incubation. </w:t>
      </w:r>
    </w:p>
    <w:p w:rsidR="00237C8E" w:rsidRDefault="00237C8E" w:rsidP="00237C8E">
      <w:pPr>
        <w:rPr>
          <w:b/>
        </w:rPr>
      </w:pPr>
      <w:r>
        <w:rPr>
          <w:b/>
        </w:rPr>
        <w:t>Methods:</w:t>
      </w:r>
    </w:p>
    <w:p w:rsidR="00A157DE" w:rsidRDefault="00A157DE" w:rsidP="00237C8E">
      <w:pPr>
        <w:rPr>
          <w:b/>
        </w:rPr>
      </w:pPr>
      <w:r>
        <w:rPr>
          <w:b/>
        </w:rPr>
        <w:t xml:space="preserve">Site Description and Sampling </w:t>
      </w:r>
    </w:p>
    <w:p w:rsidR="00A157DE" w:rsidRDefault="00A157DE" w:rsidP="00237C8E">
      <w:pPr>
        <w:rPr>
          <w:b/>
        </w:rPr>
      </w:pPr>
      <w:r>
        <w:rPr>
          <w:b/>
        </w:rPr>
        <w:t>Pore water extractions</w:t>
      </w:r>
    </w:p>
    <w:p w:rsidR="007609AA" w:rsidRPr="007609AA" w:rsidRDefault="007609AA" w:rsidP="00237C8E">
      <w:r>
        <w:tab/>
        <w:t xml:space="preserve">Pore waters were diluted 1:5 using pure, deionized water. </w:t>
      </w:r>
    </w:p>
    <w:p w:rsidR="00A157DE" w:rsidRDefault="00A157DE" w:rsidP="00237C8E">
      <w:pPr>
        <w:rPr>
          <w:b/>
        </w:rPr>
      </w:pPr>
      <w:r>
        <w:rPr>
          <w:b/>
        </w:rPr>
        <w:t>Inoculations</w:t>
      </w:r>
    </w:p>
    <w:p w:rsidR="007609AA" w:rsidRPr="007609AA" w:rsidRDefault="007609AA" w:rsidP="00237C8E">
      <w:r>
        <w:rPr>
          <w:b/>
        </w:rPr>
        <w:tab/>
      </w:r>
      <w:r>
        <w:t>Pure cultures of Streptomyces (</w:t>
      </w:r>
    </w:p>
    <w:p w:rsidR="00A157DE" w:rsidRDefault="00A157DE" w:rsidP="00237C8E">
      <w:pPr>
        <w:rPr>
          <w:b/>
        </w:rPr>
      </w:pPr>
      <w:r>
        <w:rPr>
          <w:b/>
        </w:rPr>
        <w:t>CO2 measurements</w:t>
      </w:r>
    </w:p>
    <w:p w:rsidR="00A157DE" w:rsidRDefault="007609AA" w:rsidP="00237C8E">
      <w:r>
        <w:rPr>
          <w:b/>
        </w:rPr>
        <w:tab/>
      </w:r>
      <w:r>
        <w:t xml:space="preserve"> </w:t>
      </w:r>
    </w:p>
    <w:p w:rsidR="006E44CD" w:rsidRPr="003F42C9" w:rsidRDefault="00237C8E" w:rsidP="00E668C0">
      <w:pPr>
        <w:pStyle w:val="ListParagraph"/>
        <w:numPr>
          <w:ilvl w:val="0"/>
          <w:numId w:val="2"/>
        </w:numPr>
      </w:pPr>
      <w:r w:rsidRPr="003F42C9">
        <w:t>Identify pore water samples from “organic samples” (0-</w:t>
      </w:r>
      <w:r w:rsidR="00A157DE" w:rsidRPr="003F42C9">
        <w:t>90</w:t>
      </w:r>
      <w:r w:rsidRPr="003F42C9">
        <w:t>cm depth</w:t>
      </w:r>
      <w:r w:rsidR="003F42C9" w:rsidRPr="003F42C9">
        <w:t>)</w:t>
      </w:r>
      <w:r w:rsidRPr="003F42C9">
        <w:t>?</w:t>
      </w:r>
      <w:r w:rsidR="00E668C0" w:rsidRPr="003F42C9">
        <w:t xml:space="preserve"> </w:t>
      </w:r>
      <w:proofErr w:type="gramStart"/>
      <w:r w:rsidR="006E44CD" w:rsidRPr="003F42C9">
        <w:t>with</w:t>
      </w:r>
      <w:proofErr w:type="gramEnd"/>
      <w:r w:rsidR="006E44CD" w:rsidRPr="003F42C9">
        <w:t xml:space="preserve"> enough volume to be incubated with up to </w:t>
      </w:r>
      <w:r w:rsidR="003F42C9" w:rsidRPr="003F42C9">
        <w:t>2</w:t>
      </w:r>
      <w:r w:rsidR="006E44CD" w:rsidRPr="003F42C9">
        <w:t xml:space="preserve"> bacteria, </w:t>
      </w:r>
      <w:r w:rsidR="003F42C9" w:rsidRPr="003F42C9">
        <w:t>1</w:t>
      </w:r>
      <w:r w:rsidR="006E44CD" w:rsidRPr="003F42C9">
        <w:t xml:space="preserve"> fungi, + control</w:t>
      </w:r>
      <w:r w:rsidRPr="003F42C9">
        <w:t xml:space="preserve"> </w:t>
      </w:r>
      <w:r w:rsidR="006E44CD" w:rsidRPr="003F42C9">
        <w:t>(</w:t>
      </w:r>
      <w:r w:rsidR="003F42C9" w:rsidRPr="003F42C9">
        <w:t>4</w:t>
      </w:r>
      <w:r w:rsidR="006E44CD" w:rsidRPr="003F42C9">
        <w:t xml:space="preserve"> vials, or ‘incubations’).</w:t>
      </w:r>
    </w:p>
    <w:p w:rsidR="006E44CD" w:rsidRPr="003F42C9" w:rsidRDefault="006E44CD" w:rsidP="006E44CD">
      <w:pPr>
        <w:pStyle w:val="ListParagraph"/>
        <w:numPr>
          <w:ilvl w:val="0"/>
          <w:numId w:val="2"/>
        </w:numPr>
      </w:pPr>
      <w:r w:rsidRPr="003F42C9">
        <w:t xml:space="preserve"> Dilute pore water (1:5</w:t>
      </w:r>
      <w:proofErr w:type="gramStart"/>
      <w:r w:rsidRPr="003F42C9">
        <w:t>?</w:t>
      </w:r>
      <w:r w:rsidR="00E668C0" w:rsidRPr="003F42C9">
        <w:t xml:space="preserve"> </w:t>
      </w:r>
      <w:r w:rsidRPr="003F42C9">
        <w:t>)</w:t>
      </w:r>
      <w:proofErr w:type="gramEnd"/>
      <w:r w:rsidRPr="003F42C9">
        <w:t xml:space="preserve"> and place into new, sterile </w:t>
      </w:r>
      <w:r w:rsidR="003F42C9" w:rsidRPr="003F42C9">
        <w:t>2</w:t>
      </w:r>
      <w:r w:rsidRPr="003F42C9">
        <w:t xml:space="preserve">0ml vial with septa screw cap. </w:t>
      </w:r>
    </w:p>
    <w:p w:rsidR="006E44CD" w:rsidRDefault="006E44CD" w:rsidP="006E44CD">
      <w:pPr>
        <w:pStyle w:val="ListParagraph"/>
        <w:numPr>
          <w:ilvl w:val="0"/>
          <w:numId w:val="2"/>
        </w:numPr>
      </w:pPr>
      <w:r w:rsidRPr="003F42C9">
        <w:t>Inoculate with</w:t>
      </w:r>
      <w:r w:rsidR="003F42C9">
        <w:t xml:space="preserve"> 200ul of microbial inoculant batches. Preliminary work showed that </w:t>
      </w:r>
      <w:proofErr w:type="spellStart"/>
      <w:r w:rsidR="003F42C9">
        <w:t>Cellvibrio</w:t>
      </w:r>
      <w:proofErr w:type="spellEnd"/>
      <w:r w:rsidR="003F42C9">
        <w:t xml:space="preserve"> batches are most active during 12-36 hours following placement into new pore water-based </w:t>
      </w:r>
      <w:proofErr w:type="gramStart"/>
      <w:r w:rsidR="003F42C9">
        <w:t>media ,</w:t>
      </w:r>
      <w:proofErr w:type="gramEnd"/>
      <w:r w:rsidR="003F42C9">
        <w:t xml:space="preserve"> whereas Streptomyces don’t reach optimal growth phase until 2-3 weeks following culturing. </w:t>
      </w:r>
      <w:proofErr w:type="spellStart"/>
      <w:r w:rsidR="003F42C9">
        <w:t>Trichoderma</w:t>
      </w:r>
      <w:proofErr w:type="spellEnd"/>
      <w:r w:rsidR="003F42C9">
        <w:t xml:space="preserve"> should remain in DI (and in conidial form) until </w:t>
      </w:r>
      <w:proofErr w:type="spellStart"/>
      <w:r w:rsidR="003F42C9">
        <w:t>incoluation</w:t>
      </w:r>
      <w:proofErr w:type="spellEnd"/>
      <w:r w:rsidR="003F42C9">
        <w:t xml:space="preserve"> due to mycelial mat production. </w:t>
      </w:r>
      <w:proofErr w:type="spellStart"/>
      <w:r w:rsidR="003F42C9">
        <w:t>Cellvibrio</w:t>
      </w:r>
      <w:proofErr w:type="spellEnd"/>
      <w:r w:rsidR="003F42C9">
        <w:t xml:space="preserve"> and Streptomyces were normalized to the same OD600 and </w:t>
      </w:r>
      <w:proofErr w:type="spellStart"/>
      <w:r w:rsidR="003F42C9">
        <w:t>Trichodermal</w:t>
      </w:r>
      <w:proofErr w:type="spellEnd"/>
      <w:r w:rsidR="003F42C9">
        <w:t xml:space="preserve"> cells were quantified using a </w:t>
      </w:r>
      <w:r>
        <w:t xml:space="preserve"> </w:t>
      </w:r>
      <w:proofErr w:type="spellStart"/>
      <w:r>
        <w:t>haemocytometer</w:t>
      </w:r>
      <w:proofErr w:type="spellEnd"/>
      <w:r>
        <w:t xml:space="preserve"> </w:t>
      </w:r>
      <w:r w:rsidR="003F42C9">
        <w:t xml:space="preserve">(in EMSL 1326) – which was also compared to their OD600 turbidity values and normalized to represent similar OD/cell count numbers as the bacterial cultures. </w:t>
      </w:r>
    </w:p>
    <w:p w:rsidR="003F42C9" w:rsidRDefault="0003179B" w:rsidP="006E44CD">
      <w:pPr>
        <w:pStyle w:val="ListParagraph"/>
        <w:numPr>
          <w:ilvl w:val="0"/>
          <w:numId w:val="2"/>
        </w:numPr>
      </w:pPr>
      <w:r>
        <w:t>Measure CO</w:t>
      </w:r>
      <w:r w:rsidRPr="0003179B">
        <w:rPr>
          <w:vertAlign w:val="subscript"/>
        </w:rPr>
        <w:t>2</w:t>
      </w:r>
      <w:r>
        <w:t xml:space="preserve"> via syringe</w:t>
      </w:r>
      <w:r w:rsidR="00E668C0">
        <w:t xml:space="preserve"> extraction of headspace</w:t>
      </w:r>
      <w:r>
        <w:t>.</w:t>
      </w:r>
      <w:r w:rsidR="003F42C9">
        <w:t xml:space="preserve"> Sterile</w:t>
      </w:r>
      <w:r w:rsidR="00156DE2">
        <w:t xml:space="preserve"> needles were </w:t>
      </w:r>
      <w:r w:rsidR="00156DE2">
        <w:t xml:space="preserve">6 ml samples of </w:t>
      </w:r>
      <w:proofErr w:type="gramStart"/>
      <w:r w:rsidR="00156DE2">
        <w:t>Sterile</w:t>
      </w:r>
      <w:proofErr w:type="gramEnd"/>
      <w:r w:rsidR="00156DE2">
        <w:t xml:space="preserve"> syringe needles were connected to 0.2um filters and 6ml syringes.</w:t>
      </w:r>
    </w:p>
    <w:p w:rsidR="006E44CD" w:rsidRDefault="0003179B" w:rsidP="006E44CD">
      <w:pPr>
        <w:pStyle w:val="ListParagraph"/>
        <w:numPr>
          <w:ilvl w:val="0"/>
          <w:numId w:val="2"/>
        </w:numPr>
      </w:pPr>
      <w:r>
        <w:t xml:space="preserve">  Mix headspace air and </w:t>
      </w:r>
      <w:r w:rsidRPr="00156DE2">
        <w:t>ex</w:t>
      </w:r>
      <w:r w:rsidR="00E668C0" w:rsidRPr="00156DE2">
        <w:t xml:space="preserve">tract </w:t>
      </w:r>
      <w:r w:rsidR="00156DE2" w:rsidRPr="00156DE2">
        <w:t xml:space="preserve">6 </w:t>
      </w:r>
      <w:r w:rsidRPr="00156DE2">
        <w:t>ml</w:t>
      </w:r>
      <w:r w:rsidR="00156DE2" w:rsidRPr="00156DE2">
        <w:t>/cc</w:t>
      </w:r>
      <w:r w:rsidRPr="00156DE2">
        <w:t xml:space="preserve"> of headspace. Store syringe (or inject into </w:t>
      </w:r>
      <w:proofErr w:type="spellStart"/>
      <w:r w:rsidRPr="00156DE2">
        <w:t>vacu-tainers</w:t>
      </w:r>
      <w:proofErr w:type="spellEnd"/>
      <w:r w:rsidRPr="00156DE2">
        <w:t>) until ready for injection into gas analyzer.</w:t>
      </w:r>
    </w:p>
    <w:p w:rsidR="0003179B" w:rsidRDefault="0003179B" w:rsidP="0003179B">
      <w:pPr>
        <w:pStyle w:val="ListParagraph"/>
        <w:numPr>
          <w:ilvl w:val="0"/>
          <w:numId w:val="2"/>
        </w:numPr>
      </w:pPr>
      <w:r>
        <w:t>Extract CO</w:t>
      </w:r>
      <w:r w:rsidRPr="0074220C">
        <w:rPr>
          <w:vertAlign w:val="subscript"/>
        </w:rPr>
        <w:t>2</w:t>
      </w:r>
      <w:r>
        <w:t xml:space="preserve"> at times 0, 2, 4, 8, 16, 24, 48, 72 and 144 </w:t>
      </w:r>
      <w:r w:rsidR="00156DE2">
        <w:t>and every 24 hours thereafter for a week.</w:t>
      </w:r>
      <w:r>
        <w:t xml:space="preserve">  </w:t>
      </w:r>
      <w:r w:rsidR="00156DE2">
        <w:t>Use EMG-4, set at static sampling to measure CO2 ppm.</w:t>
      </w:r>
    </w:p>
    <w:p w:rsidR="0003179B" w:rsidRDefault="0003179B" w:rsidP="006E44CD">
      <w:pPr>
        <w:pStyle w:val="ListParagraph"/>
        <w:numPr>
          <w:ilvl w:val="0"/>
          <w:numId w:val="2"/>
        </w:numPr>
      </w:pPr>
      <w:r>
        <w:t xml:space="preserve">At the end of the incubation, </w:t>
      </w:r>
      <w:r w:rsidR="0074220C">
        <w:t>collect aliquots for FTICR</w:t>
      </w:r>
      <w:r w:rsidR="005A2CD8">
        <w:t>/DOC.</w:t>
      </w:r>
    </w:p>
    <w:p w:rsidR="00E668C0" w:rsidRDefault="00E668C0" w:rsidP="005A2CD8">
      <w:pPr>
        <w:pStyle w:val="ListParagrap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3150"/>
        <w:gridCol w:w="2970"/>
        <w:gridCol w:w="1530"/>
      </w:tblGrid>
      <w:tr w:rsidR="0074220C" w:rsidTr="00371631">
        <w:trPr>
          <w:trHeight w:val="271"/>
        </w:trPr>
        <w:tc>
          <w:tcPr>
            <w:tcW w:w="1098" w:type="dxa"/>
            <w:shd w:val="clear" w:color="auto" w:fill="000000" w:themeFill="text1"/>
          </w:tcPr>
          <w:p w:rsidR="0074220C" w:rsidRPr="00371631" w:rsidRDefault="0074220C" w:rsidP="00371631">
            <w:pPr>
              <w:rPr>
                <w:color w:val="FFFFFF" w:themeColor="background1"/>
              </w:rPr>
            </w:pPr>
            <w:r w:rsidRPr="00371631">
              <w:rPr>
                <w:color w:val="FFFFFF" w:themeColor="background1"/>
              </w:rPr>
              <w:lastRenderedPageBreak/>
              <w:t>Microbe</w:t>
            </w:r>
          </w:p>
        </w:tc>
        <w:tc>
          <w:tcPr>
            <w:tcW w:w="3150" w:type="dxa"/>
            <w:shd w:val="clear" w:color="auto" w:fill="000000" w:themeFill="text1"/>
          </w:tcPr>
          <w:p w:rsidR="0074220C" w:rsidRPr="00371631" w:rsidRDefault="00371631" w:rsidP="00371631">
            <w:pPr>
              <w:jc w:val="center"/>
              <w:rPr>
                <w:color w:val="FFFFFF" w:themeColor="background1"/>
              </w:rPr>
            </w:pPr>
            <w:r w:rsidRPr="00371631">
              <w:rPr>
                <w:color w:val="FFFFFF" w:themeColor="background1"/>
              </w:rPr>
              <w:t>Classification</w:t>
            </w:r>
          </w:p>
        </w:tc>
        <w:tc>
          <w:tcPr>
            <w:tcW w:w="2970" w:type="dxa"/>
            <w:shd w:val="clear" w:color="auto" w:fill="000000" w:themeFill="text1"/>
          </w:tcPr>
          <w:p w:rsidR="0074220C" w:rsidRPr="00371631" w:rsidRDefault="0074220C" w:rsidP="00371631">
            <w:pPr>
              <w:jc w:val="center"/>
              <w:rPr>
                <w:color w:val="FFFFFF" w:themeColor="background1"/>
              </w:rPr>
            </w:pPr>
            <w:r w:rsidRPr="00371631">
              <w:rPr>
                <w:color w:val="FFFFFF" w:themeColor="background1"/>
              </w:rPr>
              <w:t>Species</w:t>
            </w:r>
          </w:p>
        </w:tc>
        <w:tc>
          <w:tcPr>
            <w:tcW w:w="1530" w:type="dxa"/>
            <w:shd w:val="clear" w:color="auto" w:fill="000000" w:themeFill="text1"/>
          </w:tcPr>
          <w:p w:rsidR="0074220C" w:rsidRPr="00371631" w:rsidRDefault="0074220C" w:rsidP="00371631">
            <w:pPr>
              <w:jc w:val="center"/>
              <w:rPr>
                <w:color w:val="FFFFFF" w:themeColor="background1"/>
              </w:rPr>
            </w:pPr>
            <w:r w:rsidRPr="00371631">
              <w:rPr>
                <w:color w:val="FFFFFF" w:themeColor="background1"/>
              </w:rPr>
              <w:t>ATCC number</w:t>
            </w:r>
          </w:p>
        </w:tc>
      </w:tr>
      <w:tr w:rsidR="008F3DFB" w:rsidTr="00371631">
        <w:trPr>
          <w:gridAfter w:val="3"/>
          <w:wAfter w:w="7650" w:type="dxa"/>
          <w:trHeight w:val="271"/>
        </w:trPr>
        <w:tc>
          <w:tcPr>
            <w:tcW w:w="1098" w:type="dxa"/>
            <w:vMerge w:val="restart"/>
          </w:tcPr>
          <w:p w:rsidR="008F3DFB" w:rsidRDefault="008F3DFB">
            <w:r>
              <w:t>Bacteria</w:t>
            </w:r>
          </w:p>
        </w:tc>
      </w:tr>
      <w:tr w:rsidR="00371631" w:rsidTr="00371631">
        <w:trPr>
          <w:trHeight w:val="255"/>
        </w:trPr>
        <w:tc>
          <w:tcPr>
            <w:tcW w:w="1098" w:type="dxa"/>
            <w:vMerge/>
          </w:tcPr>
          <w:p w:rsidR="00371631" w:rsidRDefault="00371631"/>
        </w:tc>
        <w:tc>
          <w:tcPr>
            <w:tcW w:w="3150" w:type="dxa"/>
          </w:tcPr>
          <w:p w:rsidR="00371631" w:rsidRDefault="00371631">
            <w:proofErr w:type="spellStart"/>
            <w:r>
              <w:t>Actinobacteria</w:t>
            </w:r>
            <w:proofErr w:type="spellEnd"/>
            <w:r>
              <w:t xml:space="preserve"> (Gram-positive)</w:t>
            </w:r>
          </w:p>
        </w:tc>
        <w:tc>
          <w:tcPr>
            <w:tcW w:w="2970" w:type="dxa"/>
          </w:tcPr>
          <w:p w:rsidR="00371631" w:rsidRDefault="00371631">
            <w:r>
              <w:t xml:space="preserve">Streptomyces </w:t>
            </w:r>
            <w:proofErr w:type="spellStart"/>
            <w:r>
              <w:t>cellulosae</w:t>
            </w:r>
            <w:proofErr w:type="spellEnd"/>
          </w:p>
        </w:tc>
        <w:tc>
          <w:tcPr>
            <w:tcW w:w="1530" w:type="dxa"/>
          </w:tcPr>
          <w:p w:rsidR="00371631" w:rsidRDefault="00371631">
            <w:r>
              <w:t>25439</w:t>
            </w:r>
          </w:p>
        </w:tc>
      </w:tr>
      <w:tr w:rsidR="00371631" w:rsidTr="00371631">
        <w:trPr>
          <w:trHeight w:val="271"/>
        </w:trPr>
        <w:tc>
          <w:tcPr>
            <w:tcW w:w="1098" w:type="dxa"/>
            <w:vMerge/>
          </w:tcPr>
          <w:p w:rsidR="00371631" w:rsidRDefault="00371631"/>
        </w:tc>
        <w:tc>
          <w:tcPr>
            <w:tcW w:w="3150" w:type="dxa"/>
          </w:tcPr>
          <w:p w:rsidR="00371631" w:rsidRDefault="00371631">
            <w:proofErr w:type="spellStart"/>
            <w:r>
              <w:t>Proteobacteria</w:t>
            </w:r>
            <w:proofErr w:type="spellEnd"/>
            <w:r>
              <w:t xml:space="preserve"> (Gram-negative)</w:t>
            </w:r>
          </w:p>
        </w:tc>
        <w:tc>
          <w:tcPr>
            <w:tcW w:w="2970" w:type="dxa"/>
          </w:tcPr>
          <w:p w:rsidR="00371631" w:rsidRDefault="00371631">
            <w:proofErr w:type="spellStart"/>
            <w:r>
              <w:t>Cellvibrio</w:t>
            </w:r>
            <w:proofErr w:type="spellEnd"/>
            <w:r>
              <w:t xml:space="preserve"> </w:t>
            </w:r>
            <w:proofErr w:type="spellStart"/>
            <w:r>
              <w:t>japonicus</w:t>
            </w:r>
            <w:proofErr w:type="spellEnd"/>
          </w:p>
        </w:tc>
        <w:tc>
          <w:tcPr>
            <w:tcW w:w="1530" w:type="dxa"/>
          </w:tcPr>
          <w:p w:rsidR="00371631" w:rsidRDefault="00371631">
            <w:r>
              <w:t>16015 (</w:t>
            </w:r>
            <w:proofErr w:type="spellStart"/>
            <w:r>
              <w:t>DSMz</w:t>
            </w:r>
            <w:proofErr w:type="spellEnd"/>
            <w:r>
              <w:t>)</w:t>
            </w:r>
          </w:p>
        </w:tc>
      </w:tr>
      <w:tr w:rsidR="008F3DFB" w:rsidTr="00371631">
        <w:trPr>
          <w:gridAfter w:val="3"/>
          <w:wAfter w:w="7650" w:type="dxa"/>
          <w:trHeight w:val="269"/>
        </w:trPr>
        <w:tc>
          <w:tcPr>
            <w:tcW w:w="1098" w:type="dxa"/>
            <w:vMerge/>
          </w:tcPr>
          <w:p w:rsidR="008F3DFB" w:rsidRDefault="008F3DFB"/>
        </w:tc>
      </w:tr>
      <w:tr w:rsidR="00371631" w:rsidTr="00371631">
        <w:trPr>
          <w:trHeight w:val="271"/>
        </w:trPr>
        <w:tc>
          <w:tcPr>
            <w:tcW w:w="1098" w:type="dxa"/>
          </w:tcPr>
          <w:p w:rsidR="00371631" w:rsidRDefault="00371631">
            <w:r>
              <w:t xml:space="preserve">Fungi </w:t>
            </w:r>
          </w:p>
        </w:tc>
        <w:tc>
          <w:tcPr>
            <w:tcW w:w="3150" w:type="dxa"/>
          </w:tcPr>
          <w:p w:rsidR="00371631" w:rsidRDefault="00371631">
            <w:r>
              <w:t>Ascomycota (div)</w:t>
            </w:r>
          </w:p>
        </w:tc>
        <w:tc>
          <w:tcPr>
            <w:tcW w:w="2970" w:type="dxa"/>
          </w:tcPr>
          <w:p w:rsidR="00371631" w:rsidRDefault="00371631">
            <w:proofErr w:type="spellStart"/>
            <w:r>
              <w:t>Trichoderma</w:t>
            </w:r>
            <w:proofErr w:type="spellEnd"/>
            <w:r>
              <w:t xml:space="preserve"> </w:t>
            </w:r>
            <w:proofErr w:type="spellStart"/>
            <w:r>
              <w:t>reesei</w:t>
            </w:r>
            <w:proofErr w:type="spellEnd"/>
          </w:p>
        </w:tc>
        <w:tc>
          <w:tcPr>
            <w:tcW w:w="1530" w:type="dxa"/>
          </w:tcPr>
          <w:p w:rsidR="00371631" w:rsidRDefault="00371631">
            <w:r>
              <w:t>QM6a</w:t>
            </w:r>
          </w:p>
        </w:tc>
      </w:tr>
    </w:tbl>
    <w:p w:rsidR="00237C8E" w:rsidRDefault="00237C8E">
      <w:pPr>
        <w:rPr>
          <w:b/>
        </w:rPr>
      </w:pPr>
    </w:p>
    <w:p w:rsidR="004A5B27" w:rsidRDefault="004A5B27" w:rsidP="00331D7F">
      <w:pPr>
        <w:spacing w:after="0" w:line="240" w:lineRule="auto"/>
      </w:pPr>
      <w:bookmarkStart w:id="0" w:name="_GoBack"/>
      <w:bookmarkEnd w:id="0"/>
    </w:p>
    <w:sectPr w:rsidR="004A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C1667"/>
    <w:multiLevelType w:val="hybridMultilevel"/>
    <w:tmpl w:val="38A45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C42B1"/>
    <w:multiLevelType w:val="hybridMultilevel"/>
    <w:tmpl w:val="A906FD5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DD"/>
    <w:rsid w:val="0003179B"/>
    <w:rsid w:val="000706A2"/>
    <w:rsid w:val="00156DE2"/>
    <w:rsid w:val="00237C8E"/>
    <w:rsid w:val="00331D7F"/>
    <w:rsid w:val="00371631"/>
    <w:rsid w:val="003908FE"/>
    <w:rsid w:val="003B750F"/>
    <w:rsid w:val="003F42C9"/>
    <w:rsid w:val="004A5B27"/>
    <w:rsid w:val="004F5ADD"/>
    <w:rsid w:val="005A2CD8"/>
    <w:rsid w:val="00697DC2"/>
    <w:rsid w:val="006E44CD"/>
    <w:rsid w:val="0074220C"/>
    <w:rsid w:val="007609AA"/>
    <w:rsid w:val="00850FAE"/>
    <w:rsid w:val="008C6C92"/>
    <w:rsid w:val="008F3DFB"/>
    <w:rsid w:val="00A157DE"/>
    <w:rsid w:val="00A82CDF"/>
    <w:rsid w:val="00BC0C16"/>
    <w:rsid w:val="00BC5621"/>
    <w:rsid w:val="00BE4000"/>
    <w:rsid w:val="00D35856"/>
    <w:rsid w:val="00E21E93"/>
    <w:rsid w:val="00E668C0"/>
    <w:rsid w:val="00E8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8E"/>
    <w:pPr>
      <w:ind w:left="720"/>
      <w:contextualSpacing/>
    </w:pPr>
  </w:style>
  <w:style w:type="table" w:styleId="TableGrid">
    <w:name w:val="Table Grid"/>
    <w:basedOn w:val="TableNormal"/>
    <w:uiPriority w:val="59"/>
    <w:rsid w:val="0074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56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6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6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6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6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8E"/>
    <w:pPr>
      <w:ind w:left="720"/>
      <w:contextualSpacing/>
    </w:pPr>
  </w:style>
  <w:style w:type="table" w:styleId="TableGrid">
    <w:name w:val="Table Grid"/>
    <w:basedOn w:val="TableNormal"/>
    <w:uiPriority w:val="59"/>
    <w:rsid w:val="0074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56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6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6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6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6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9669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2015-02-18T21:07:00Z</dcterms:created>
  <dcterms:modified xsi:type="dcterms:W3CDTF">2015-02-25T18:17:00Z</dcterms:modified>
</cp:coreProperties>
</file>