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2.png" ContentType="image/png"/>
  <Override PartName="/word/media/rId31.png" ContentType="image/png"/>
  <Override PartName="/word/media/rId3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r>
        <w:t xml:space="preserve">(Xiao et al. 2016)</w:t>
      </w:r>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29">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0" w:name="results"/>
      <w:bookmarkEnd w:id="30"/>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909454"/>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3"/>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5" w:name="discussion"/>
      <w:bookmarkEnd w:id="35"/>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6" w:name="acknowledgments"/>
      <w:bookmarkEnd w:id="36"/>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7" w:name="references"/>
      <w:bookmarkEnd w:id="37"/>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November. weecology/sad-comparison: First submission to PeerJ.</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The American Naturalist 185:E70–E80.</w:t>
      </w:r>
    </w:p>
    <w:p>
      <w:pPr>
        <w:pStyle w:val="Bibliography"/>
      </w:pPr>
      <w:r>
        <w:t xml:space="preserve">Xiao, X., K. Thibault, D. J. Harris, E. Baldridge, and E. White. 2016. Weecology/macroecotools: V0.4.0. Zenodo. http://doi.org/10.5281/zenodo.166721.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475958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hyperlink" Id="rId29"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