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Calibri" w:cs="Calibri" w:eastAsia="Calibri" w:hAnsi="Calibri"/>
          <w:b/>
          <w:bCs/>
          <w:caps/>
          <w:color w:val="64748B"/>
          <w:sz w:val="28"/>
          <w:szCs w:val="28"/>
        </w:rPr>
        <w:t xml:space="preserve">PRODUCT REQUIREMENTS DOCUMENT</w:t>
      </w:r>
    </w:p>
    <w:p>
      <w:pPr>
        <w:spacing w:before="0" w:after="160"/>
        <w:jc w:val="center"/>
      </w:pPr>
      <w:r>
        <w:rPr>
          <w:rFonts w:ascii="Calibri" w:cs="Calibri" w:eastAsia="Calibri" w:hAnsi="Calibri"/>
          <w:b/>
          <w:bCs/>
          <w:color w:val="1A3A8F"/>
          <w:sz w:val="64"/>
          <w:szCs w:val="64"/>
        </w:rPr>
        <w:t xml:space="preserve">The Inclusive Citizen</w:t>
      </w:r>
    </w:p>
    <w:p>
      <w:pPr>
        <w:spacing w:before="0" w:after="80"/>
        <w:jc w:val="center"/>
      </w:pPr>
      <w:r>
        <w:rPr>
          <w:rFonts w:ascii="Calibri" w:cs="Calibri" w:eastAsia="Calibri" w:hAnsi="Calibri"/>
          <w:i/>
          <w:iCs/>
          <w:color w:val="2D5BE3"/>
          <w:sz w:val="36"/>
          <w:szCs w:val="36"/>
        </w:rPr>
        <w:t xml:space="preserve">Multilingual AI for Public Services</w:t>
      </w:r>
    </w:p>
    <w:p>
      <w:pPr>
        <w:spacing w:before="8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Calibri" w:cs="Calibri" w:eastAsia="Calibri" w:hAnsi="Calibri"/>
                <w:b/>
                <w:bCs/>
                <w:color w:val="64748B"/>
                <w:sz w:val="20"/>
                <w:szCs w:val="20"/>
              </w:rPr>
              <w:t xml:space="preserve">Event:</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cs="Calibri" w:eastAsia="Calibri" w:hAnsi="Calibri"/>
                <w:color w:val="1E293B"/>
                <w:sz w:val="20"/>
                <w:szCs w:val="20"/>
              </w:rPr>
              <w:t xml:space="preserve">V Hack 2026 — USM</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Calibri" w:cs="Calibri" w:eastAsia="Calibri" w:hAnsi="Calibri"/>
                <w:b/>
                <w:bCs/>
                <w:color w:val="64748B"/>
                <w:sz w:val="20"/>
                <w:szCs w:val="20"/>
              </w:rPr>
              <w:t xml:space="preserve">Track:</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cs="Calibri" w:eastAsia="Calibri" w:hAnsi="Calibri"/>
                <w:color w:val="1E293B"/>
                <w:sz w:val="20"/>
                <w:szCs w:val="20"/>
              </w:rPr>
              <w:t xml:space="preserve">Natural Language Processing (NLP)</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Calibri" w:cs="Calibri" w:eastAsia="Calibri" w:hAnsi="Calibri"/>
                <w:b/>
                <w:bCs/>
                <w:color w:val="64748B"/>
                <w:sz w:val="20"/>
                <w:szCs w:val="20"/>
              </w:rPr>
              <w:t xml:space="preserve">Case Study:</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cs="Calibri" w:eastAsia="Calibri" w:hAnsi="Calibri"/>
                <w:color w:val="1E293B"/>
                <w:sz w:val="20"/>
                <w:szCs w:val="20"/>
              </w:rPr>
              <w:t xml:space="preserve">Case Study 4</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Calibri" w:cs="Calibri" w:eastAsia="Calibri" w:hAnsi="Calibri"/>
                <w:b/>
                <w:bCs/>
                <w:color w:val="64748B"/>
                <w:sz w:val="20"/>
                <w:szCs w:val="20"/>
              </w:rPr>
              <w:t xml:space="preserve">SDG Goal:</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cs="Calibri" w:eastAsia="Calibri" w:hAnsi="Calibri"/>
                <w:color w:val="1E293B"/>
                <w:sz w:val="20"/>
                <w:szCs w:val="20"/>
              </w:rPr>
              <w:t xml:space="preserve">SDG 10: Reduced Inequalities (Target 10.2)</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Calibri" w:cs="Calibri" w:eastAsia="Calibri" w:hAnsi="Calibri"/>
                <w:b/>
                <w:bCs/>
                <w:color w:val="64748B"/>
                <w:sz w:val="20"/>
                <w:szCs w:val="20"/>
              </w:rPr>
              <w:t xml:space="preserve">Version:</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cs="Calibri" w:eastAsia="Calibri" w:hAnsi="Calibri"/>
                <w:color w:val="1E293B"/>
                <w:sz w:val="20"/>
                <w:szCs w:val="20"/>
              </w:rPr>
              <w:t xml:space="preserve">v2.0 — March 2026</w:t>
            </w:r>
          </w:p>
        </w:tc>
      </w:tr>
    </w:tbl>
    <w:p>
      <w:pPr>
        <w:spacing w:before="400" w:after="0"/>
      </w:pPr>
      <w:r>
        <w:t xml:space="preserve"/>
      </w:r>
    </w:p>
    <w:p>
      <w:pPr>
        <w:jc w:val="center"/>
      </w:pPr>
      <w:r>
        <w:rPr>
          <w:color w:val="C7D2FE"/>
          <w:sz w:val="24"/>
          <w:szCs w:val="24"/>
        </w:rPr>
        <w:t xml:space="preserve">─────────────────────────────────────</w:t>
      </w:r>
    </w:p>
    <w:p>
      <w:pPr>
        <w:spacing w:before="200" w:after="0"/>
      </w:pPr>
      <w:r>
        <w:t xml:space="preserve"/>
      </w:r>
    </w:p>
    <w:p>
      <w:r>
        <w:br w:type="page"/>
      </w:r>
    </w:p>
    <w:p>
      <w:pPr>
        <w:pStyle w:val="Heading1"/>
        <w:pBdr>
          <w:bottom w:val="single" w:color="2D5BE3" w:sz="4" w:space="4"/>
        </w:pBdr>
        <w:spacing w:before="400" w:after="200"/>
      </w:pPr>
      <w:r>
        <w:rPr>
          <w:rFonts w:ascii="Calibri" w:cs="Calibri" w:eastAsia="Calibri" w:hAnsi="Calibri"/>
          <w:b/>
          <w:bCs/>
          <w:color w:val="1A3A8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5BE3" w:sz="4" w:space="4"/>
        </w:pBdr>
        <w:spacing w:before="400" w:after="200"/>
      </w:pPr>
      <w:r>
        <w:rPr>
          <w:rFonts w:ascii="Calibri" w:cs="Calibri" w:eastAsia="Calibri" w:hAnsi="Calibri"/>
          <w:b/>
          <w:bCs/>
          <w:color w:val="1A3A8F"/>
          <w:sz w:val="36"/>
          <w:szCs w:val="36"/>
        </w:rPr>
        <w:t xml:space="preserve">1. Executive Summary</w:t>
      </w:r>
    </w:p>
    <w:p>
      <w:pPr>
        <w:spacing w:before="80" w:after="100"/>
      </w:pPr>
      <w:r>
        <w:rPr>
          <w:rFonts w:ascii="Calibri" w:cs="Calibri" w:eastAsia="Calibri" w:hAnsi="Calibri"/>
          <w:color w:val="1E293B"/>
          <w:sz w:val="22"/>
          <w:szCs w:val="22"/>
        </w:rPr>
        <w:t xml:space="preserve">The Inclusive Citizen is a multilingual AI-powered public services assistant designed to bridge the "Information Gap" that excludes elderly users, migrant workers, and rural communities in ASEAN from accessing essential government services. Built for the V Hack 2026 hackathon at Universiti Sains Malaysia under Case Study 4, the system addresses SDG 10: Reduced Inequalities (Target 10.2).</w:t>
      </w:r>
    </w:p>
    <w:p>
      <w:pPr>
        <w:spacing w:before="100" w:after="0"/>
      </w:pPr>
      <w:r>
        <w:t xml:space="preserve"/>
      </w:r>
    </w:p>
    <w:p>
      <w:pPr>
        <w:spacing w:before="80" w:after="100"/>
      </w:pPr>
      <w:r>
        <w:rPr>
          <w:rFonts w:ascii="Calibri" w:cs="Calibri" w:eastAsia="Calibri" w:hAnsi="Calibri"/>
          <w:color w:val="1E293B"/>
          <w:sz w:val="22"/>
          <w:szCs w:val="22"/>
        </w:rPr>
        <w:t xml:space="preserve">Rather than a simple translation tool, The Inclusive Citizen is a full-stack intelligent assistant built on four core pillars: (1) cross-lingual retrieval — finding relevant answers from official government documents in any user language without pre-translation; (2) translation — converting BM-generated answers into the user's own language via a tiered translation layer; (3) simplification — rewriting translated answers to a Grade 5 reading level in the target language; and (4) trust — validating semantic fidelity and surfacing source citations for every response delivered.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E3" w:sz="1"/>
              <w:left w:val="single" w:color="2D5BE3" w:sz="12"/>
              <w:bottom w:val="single" w:color="2D5BE3" w:sz="1"/>
              <w:right w:val="single" w:color="2D5BE3" w:sz="1"/>
            </w:tcBorders>
            <w:shd w:fill="EEF2FF" w:val="clear"/>
            <w:tcMar>
              <w:top w:type="dxa" w:w="120"/>
              <w:left w:type="dxa" w:w="200"/>
              <w:bottom w:type="dxa" w:w="120"/>
              <w:right w:type="dxa" w:w="200"/>
            </w:tcMar>
          </w:tcPr>
          <w:p>
            <w:pPr>
              <w:spacing w:before="0" w:after="60"/>
            </w:pPr>
            <w:r>
              <w:rPr>
                <w:rFonts w:ascii="Calibri" w:cs="Calibri" w:eastAsia="Calibri" w:hAnsi="Calibri"/>
                <w:b/>
                <w:bCs/>
                <w:color w:val="2D5BE3"/>
                <w:sz w:val="22"/>
                <w:szCs w:val="22"/>
              </w:rPr>
              <w:t xml:space="preserve">Problem Statement</w:t>
            </w:r>
          </w:p>
          <w:p>
            <w:pPr>
              <w:spacing w:before="0" w:after="0"/>
            </w:pPr>
            <w:r>
              <w:rPr>
                <w:rFonts w:ascii="Calibri" w:cs="Calibri" w:eastAsia="Calibri" w:hAnsi="Calibri"/>
                <w:color w:val="1E293B"/>
                <w:sz w:val="22"/>
                <w:szCs w:val="22"/>
              </w:rPr>
              <w:t xml:space="preserve">Digital government portals in ASEAN predominantly use a single dominant national language with complex official terminology. This excludes millions of users — particularly elderly citizens, migrant workers, and rural communities — from essential public health, legal, and social services. Conventional translation tools do not address jargon, literacy level, or dialect diversity.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1"/>
              <w:left w:val="single" w:color="00C9A7" w:sz="12"/>
              <w:bottom w:val="single" w:color="00C9A7" w:sz="1"/>
              <w:right w:val="single" w:color="00C9A7" w:sz="1"/>
            </w:tcBorders>
            <w:shd w:fill="E6FBF7" w:val="clear"/>
            <w:tcMar>
              <w:top w:type="dxa" w:w="120"/>
              <w:left w:type="dxa" w:w="200"/>
              <w:bottom w:type="dxa" w:w="120"/>
              <w:right w:type="dxa" w:w="200"/>
            </w:tcMar>
          </w:tcPr>
          <w:p>
            <w:pPr>
              <w:spacing w:before="0" w:after="60"/>
            </w:pPr>
            <w:r>
              <w:rPr>
                <w:rFonts w:ascii="Calibri" w:cs="Calibri" w:eastAsia="Calibri" w:hAnsi="Calibri"/>
                <w:b/>
                <w:bCs/>
                <w:color w:val="00C9A7"/>
                <w:sz w:val="22"/>
                <w:szCs w:val="22"/>
              </w:rPr>
              <w:t xml:space="preserve">Our Solution</w:t>
            </w:r>
          </w:p>
          <w:p>
            <w:pPr>
              <w:spacing w:before="0" w:after="0"/>
            </w:pPr>
            <w:r>
              <w:rPr>
                <w:rFonts w:ascii="Calibri" w:cs="Calibri" w:eastAsia="Calibri" w:hAnsi="Calibri"/>
                <w:color w:val="1E293B"/>
                <w:sz w:val="22"/>
                <w:szCs w:val="22"/>
              </w:rPr>
              <w:t xml:space="preserve">A voice-first, dialect-aware multilingual AI assistant that retrieves answers from official government documents (BM knowledge base), translates them into the user's own language via a tiered Google Cloud TLLM + NLLB-200 translation layer, simplifies them to plain language, validates semantic fidelity, delivers spoken responses, and presents source citations for full transparency and trust.</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2. Problem &amp; Context</w:t>
      </w:r>
    </w:p>
    <w:p>
      <w:pPr>
        <w:pStyle w:val="Heading2"/>
        <w:spacing w:before="320" w:after="160"/>
      </w:pPr>
      <w:r>
        <w:rPr>
          <w:rFonts w:ascii="Calibri" w:cs="Calibri" w:eastAsia="Calibri" w:hAnsi="Calibri"/>
          <w:b/>
          <w:bCs/>
          <w:color w:val="2D5BE3"/>
          <w:sz w:val="28"/>
          <w:szCs w:val="28"/>
        </w:rPr>
        <w:t xml:space="preserve">2.1 Real-World Context</w:t>
      </w:r>
    </w:p>
    <w:p>
      <w:pPr>
        <w:spacing w:before="80" w:after="100"/>
      </w:pPr>
      <w:r>
        <w:rPr>
          <w:rFonts w:ascii="Calibri" w:cs="Calibri" w:eastAsia="Calibri" w:hAnsi="Calibri"/>
          <w:color w:val="1E293B"/>
          <w:sz w:val="22"/>
          <w:szCs w:val="22"/>
        </w:rPr>
        <w:t xml:space="preserve">ASEAN is a region of extraordinary linguistic diversity — home to over 1,200 living languages and dialects. Despite rapid digitisation of government services, the majority of e-Government portals are designed for educated, urban citizens who are proficient in the dominant national language and comfortable with formal bureaucratic terminology.</w:t>
      </w:r>
    </w:p>
    <w:p>
      <w:pPr>
        <w:spacing w:before="100" w:after="0"/>
      </w:pPr>
      <w:r>
        <w:t xml:space="preserve"/>
      </w:r>
    </w:p>
    <w:p>
      <w:pPr>
        <w:spacing w:before="80" w:after="100"/>
      </w:pPr>
      <w:r>
        <w:rPr>
          <w:rFonts w:ascii="Calibri" w:cs="Calibri" w:eastAsia="Calibri" w:hAnsi="Calibri"/>
          <w:color w:val="1E293B"/>
          <w:sz w:val="22"/>
          <w:szCs w:val="22"/>
        </w:rPr>
        <w:t xml:space="preserve">This design assumption excludes three primary vulnerable groups: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Elderly citizens (60+) who may have limited formal education and low digital literacy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Migrant workers from countries such as Indonesia, Philippines, and Bangladesh who may not speak the host country's national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Rural and indigenous communities who communicate primarily in regional dialects rather than the standardised national language</w:t>
      </w:r>
    </w:p>
    <w:p>
      <w:pPr>
        <w:spacing w:before="100" w:after="0"/>
      </w:pPr>
      <w:r>
        <w:t xml:space="preserve"/>
      </w:r>
    </w:p>
    <w:p>
      <w:pPr>
        <w:spacing w:before="80" w:after="100"/>
      </w:pPr>
      <w:r>
        <w:rPr>
          <w:rFonts w:ascii="Calibri" w:cs="Calibri" w:eastAsia="Calibri" w:hAnsi="Calibri"/>
          <w:color w:val="1E293B"/>
          <w:sz w:val="22"/>
          <w:szCs w:val="22"/>
        </w:rPr>
        <w:t xml:space="preserve">The consequences of this exclusion are not merely inconvenient — they are life-altering. Missing a social welfare application, misunderstanding a medical subsidy scheme, or failing to renew a work permit due to language barriers can have catastrophic financial and legal consequences for vulnerable individuals.</w:t>
      </w:r>
    </w:p>
    <w:p>
      <w:pPr>
        <w:pStyle w:val="Heading2"/>
        <w:spacing w:before="320" w:after="160"/>
      </w:pPr>
      <w:r>
        <w:rPr>
          <w:rFonts w:ascii="Calibri" w:cs="Calibri" w:eastAsia="Calibri" w:hAnsi="Calibri"/>
          <w:b/>
          <w:bCs/>
          <w:color w:val="2D5BE3"/>
          <w:sz w:val="28"/>
          <w:szCs w:val="28"/>
        </w:rPr>
        <w:t xml:space="preserve">2.2 Identified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Pain Point</w:t>
            </w:r>
          </w:p>
        </w:tc>
        <w:tc>
          <w:tcPr>
            <w:tcW w:type="dxa" w:w="343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Current Situation</w:t>
            </w:r>
          </w:p>
        </w:tc>
        <w:tc>
          <w:tcPr>
            <w:tcW w:type="dxa" w:w="343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Impact</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Language Barrier</w:t>
            </w:r>
          </w:p>
        </w:tc>
        <w:tc>
          <w:tcPr>
            <w:tcW w:type="dxa" w:w="343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Gov portals in formal national language only</w:t>
            </w:r>
          </w:p>
        </w:tc>
        <w:tc>
          <w:tcPr>
            <w:tcW w:type="dxa" w:w="343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Exclusion of dialect speakers, migrants</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No Answer Translation</w:t>
            </w:r>
          </w:p>
        </w:tc>
        <w:tc>
          <w:tcPr>
            <w:tcW w:type="dxa" w:w="343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AI tools generate answers in document language (BM), not user language</w:t>
            </w:r>
          </w:p>
        </w:tc>
        <w:tc>
          <w:tcPr>
            <w:tcW w:type="dxa" w:w="343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Migrant workers, English speakers cannot understand responses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Jargon Overload</w:t>
            </w:r>
          </w:p>
        </w:tc>
        <w:tc>
          <w:tcPr>
            <w:tcW w:type="dxa" w:w="343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Legal/medical terminology inaccessible to laypersons</w:t>
            </w:r>
          </w:p>
        </w:tc>
        <w:tc>
          <w:tcPr>
            <w:tcW w:type="dxa" w:w="343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Misunderstanding of eligibility criteria</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Digital Literacy Gap</w:t>
            </w:r>
          </w:p>
        </w:tc>
        <w:tc>
          <w:tcPr>
            <w:tcW w:type="dxa" w:w="343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Text-heavy UIs require reading ability</w:t>
            </w:r>
          </w:p>
        </w:tc>
        <w:tc>
          <w:tcPr>
            <w:tcW w:type="dxa" w:w="343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Elderly, low-literacy users cannot navigate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Hallucination Risk</w:t>
            </w:r>
          </w:p>
        </w:tc>
        <w:tc>
          <w:tcPr>
            <w:tcW w:type="dxa" w:w="343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LLM tools generate plausible but inaccurate info</w:t>
            </w:r>
          </w:p>
        </w:tc>
        <w:tc>
          <w:tcPr>
            <w:tcW w:type="dxa" w:w="343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Dangerous misinformation in public services</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Low-Resource Languages</w:t>
            </w:r>
          </w:p>
        </w:tc>
        <w:tc>
          <w:tcPr>
            <w:tcW w:type="dxa" w:w="343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Indigenous/regional dialects have no digital presence</w:t>
            </w:r>
          </w:p>
        </w:tc>
        <w:tc>
          <w:tcPr>
            <w:tcW w:type="dxa" w:w="343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Complete exclusion of minority communities</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3. Goals &amp; Success Metrics</w:t>
      </w:r>
    </w:p>
    <w:p>
      <w:pPr>
        <w:pStyle w:val="Heading2"/>
        <w:spacing w:before="320" w:after="160"/>
      </w:pPr>
      <w:r>
        <w:rPr>
          <w:rFonts w:ascii="Calibri" w:cs="Calibri" w:eastAsia="Calibri" w:hAnsi="Calibri"/>
          <w:b/>
          <w:bCs/>
          <w:color w:val="2D5BE3"/>
          <w:sz w:val="28"/>
          <w:szCs w:val="28"/>
        </w:rPr>
        <w:t xml:space="preserve">3.1 Primary Goals</w:t>
      </w:r>
    </w:p>
    <w:p>
      <w:pPr>
        <w:pStyle w:val="ListParagraph"/>
        <w:numPr>
          <w:ilvl w:val="0"/>
          <w:numId w:val="2"/>
        </w:numPr>
        <w:spacing w:before="60" w:after="60"/>
      </w:pPr>
      <w:r>
        <w:rPr>
          <w:rFonts w:ascii="Calibri" w:cs="Calibri" w:eastAsia="Calibri" w:hAnsi="Calibri"/>
          <w:b/>
          <w:bCs/>
          <w:color w:val="1E293B"/>
          <w:sz w:val="22"/>
          <w:szCs w:val="22"/>
        </w:rPr>
        <w:t xml:space="preserve">Provide accurate, hallucination-controlled answers to government services questions in any SEA language or dialect</w:t>
      </w:r>
    </w:p>
    <w:p>
      <w:pPr>
        <w:pStyle w:val="ListParagraph"/>
        <w:numPr>
          <w:ilvl w:val="0"/>
          <w:numId w:val="2"/>
        </w:numPr>
        <w:spacing w:before="60" w:after="60"/>
      </w:pPr>
      <w:r>
        <w:rPr>
          <w:rFonts w:ascii="Calibri" w:cs="Calibri" w:eastAsia="Calibri" w:hAnsi="Calibri"/>
          <w:b/>
          <w:bCs/>
          <w:color w:val="1E293B"/>
          <w:sz w:val="22"/>
          <w:szCs w:val="22"/>
        </w:rPr>
        <w:t xml:space="preserve">Deliver responses at a Grade 5 reading level with semantic fidelity to original source documents</w:t>
      </w:r>
    </w:p>
    <w:p>
      <w:pPr>
        <w:pStyle w:val="ListParagraph"/>
        <w:numPr>
          <w:ilvl w:val="0"/>
          <w:numId w:val="2"/>
        </w:numPr>
        <w:spacing w:before="60" w:after="60"/>
      </w:pPr>
      <w:r>
        <w:rPr>
          <w:rFonts w:ascii="Calibri" w:cs="Calibri" w:eastAsia="Calibri" w:hAnsi="Calibri"/>
          <w:b/>
          <w:bCs/>
          <w:color w:val="1E293B"/>
          <w:sz w:val="22"/>
          <w:szCs w:val="22"/>
        </w:rPr>
        <w:t xml:space="preserve">Support voice-first interaction for users with low digital literacy</w:t>
      </w:r>
    </w:p>
    <w:p>
      <w:pPr>
        <w:pStyle w:val="ListParagraph"/>
        <w:numPr>
          <w:ilvl w:val="0"/>
          <w:numId w:val="2"/>
        </w:numPr>
        <w:spacing w:before="60" w:after="60"/>
      </w:pPr>
      <w:r>
        <w:rPr>
          <w:rFonts w:ascii="Calibri" w:cs="Calibri" w:eastAsia="Calibri" w:hAnsi="Calibri"/>
          <w:b/>
          <w:bCs/>
          <w:color w:val="1E293B"/>
          <w:sz w:val="22"/>
          <w:szCs w:val="22"/>
        </w:rPr>
        <w:t xml:space="preserve">Serve as a trustworthy bridge between citizens and government information systems</w:t>
      </w:r>
    </w:p>
    <w:p>
      <w:pPr>
        <w:pStyle w:val="Heading2"/>
        <w:spacing w:before="320" w:after="160"/>
      </w:pPr>
      <w:r>
        <w:rPr>
          <w:rFonts w:ascii="Calibri" w:cs="Calibri" w:eastAsia="Calibri" w:hAnsi="Calibri"/>
          <w:b/>
          <w:bCs/>
          <w:color w:val="2D5BE3"/>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2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Target</w:t>
            </w:r>
          </w:p>
        </w:tc>
        <w:tc>
          <w:tcPr>
            <w:tcW w:type="dxa" w:w="33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Measurement Method</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Semantic Preservation Score</w:t>
            </w:r>
          </w:p>
        </w:tc>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90%</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Cosine similarity (sentence-transformers)</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Dialect Detection Accuracy</w:t>
            </w:r>
          </w:p>
        </w:tc>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 85%</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Evaluation against labelled dialect test set</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RAG Retrieval Precision</w:t>
            </w:r>
          </w:p>
        </w:tc>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80% top-3 relevance</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Manual evaluation on 50 test queries</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Answer Generation Latency</w:t>
            </w:r>
          </w:p>
        </w:tc>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&lt; 5 seconds end-to-end</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Measured from user input to voice output</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Readability Score (Flesch-Kincaid)</w:t>
            </w:r>
          </w:p>
        </w:tc>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Grade 5-7 level</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textstat library automated scoring</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STT Accuracy (Malay/Indonesian)</w:t>
            </w:r>
          </w:p>
        </w:tc>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 88% WER</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Against standard SEA language benchmarks</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4. User Personas</w:t>
      </w:r>
    </w:p>
    <w:p>
      <w:pPr>
        <w:pStyle w:val="Heading2"/>
        <w:spacing w:before="320" w:after="160"/>
      </w:pPr>
      <w:r>
        <w:rPr>
          <w:rFonts w:ascii="Calibri" w:cs="Calibri" w:eastAsia="Calibri" w:hAnsi="Calibri"/>
          <w:b/>
          <w:bCs/>
          <w:color w:val="2D5BE3"/>
          <w:sz w:val="28"/>
          <w:szCs w:val="28"/>
        </w:rPr>
        <w:t xml:space="preserve">4.1 Mak Cik Rohani — The Elderly Rural Citizen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alibri" w:cs="Calibri" w:eastAsia="Calibri" w:hAnsi="Calibri"/>
                <w:b/>
                <w:bCs/>
                <w:color w:val="1A3A8F"/>
                <w:sz w:val="20"/>
                <w:szCs w:val="20"/>
              </w:rPr>
              <w:t xml:space="preserve">Age / Location</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68, Kelantan, Malaysia</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alibri" w:cs="Calibri" w:eastAsia="Calibri" w:hAnsi="Calibri"/>
                <w:b/>
                <w:bCs/>
                <w:color w:val="1A3A8F"/>
                <w:sz w:val="20"/>
                <w:szCs w:val="20"/>
              </w:rPr>
              <w:t xml:space="preserve">Language</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Kelantanese Malay dialect; limited formal BM</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alibri" w:cs="Calibri" w:eastAsia="Calibri" w:hAnsi="Calibri"/>
                <w:b/>
                <w:bCs/>
                <w:color w:val="1A3A8F"/>
                <w:sz w:val="20"/>
                <w:szCs w:val="20"/>
              </w:rPr>
              <w:t xml:space="preserve">Goal</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Understand her eligibility for Bantuan Sara Hidup (BSH)</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alibri" w:cs="Calibri" w:eastAsia="Calibri" w:hAnsi="Calibri"/>
                <w:b/>
                <w:bCs/>
                <w:color w:val="1A3A8F"/>
                <w:sz w:val="20"/>
                <w:szCs w:val="20"/>
              </w:rPr>
              <w:t xml:space="preserve">Pain Points</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Cannot read formal BM; intimidated by government portal UI; no smartphone proficiency</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alibri" w:cs="Calibri" w:eastAsia="Calibri" w:hAnsi="Calibri"/>
                <w:b/>
                <w:bCs/>
                <w:color w:val="1A3A8F"/>
                <w:sz w:val="20"/>
                <w:szCs w:val="20"/>
              </w:rPr>
              <w:t xml:space="preserve">Mode Used</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Warga Emas persona — voice-first, large text, spoken Kelantanese-register response</w:t>
            </w:r>
          </w:p>
        </w:tc>
      </w:tr>
    </w:tbl>
    <w:p>
      <w:pPr>
        <w:spacing w:before="120" w:after="0"/>
      </w:pPr>
      <w:r>
        <w:t xml:space="preserve"/>
      </w:r>
    </w:p>
    <w:p>
      <w:pPr>
        <w:pStyle w:val="Heading2"/>
        <w:spacing w:before="320" w:after="160"/>
      </w:pPr>
      <w:r>
        <w:rPr>
          <w:rFonts w:ascii="Calibri" w:cs="Calibri" w:eastAsia="Calibri" w:hAnsi="Calibri"/>
          <w:b/>
          <w:bCs/>
          <w:color w:val="2D5BE3"/>
          <w:sz w:val="28"/>
          <w:szCs w:val="28"/>
        </w:rPr>
        <w:t xml:space="preserve">4.2 Budi — The Migrant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6FBF7" w:val="clear"/>
            <w:tcMar>
              <w:top w:type="dxa" w:w="80"/>
              <w:left w:type="dxa" w:w="120"/>
              <w:bottom w:type="dxa" w:w="80"/>
              <w:right w:type="dxa" w:w="120"/>
            </w:tcMar>
          </w:tcPr>
          <w:p>
            <w:r>
              <w:rPr>
                <w:rFonts w:ascii="Calibri" w:cs="Calibri" w:eastAsia="Calibri" w:hAnsi="Calibri"/>
                <w:b/>
                <w:bCs/>
                <w:color w:val="00C9A7"/>
                <w:sz w:val="20"/>
                <w:szCs w:val="20"/>
              </w:rPr>
              <w:t xml:space="preserve">Age / Location</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32, Indonesian worker in Penang, Malaysia</w:t>
            </w:r>
          </w:p>
        </w:tc>
      </w:tr>
      <w:tr>
        <w:tc>
          <w:tcPr>
            <w:tcW w:type="dxa" w:w="2200"/>
            <w:tcBorders>
              <w:top w:val="single" w:color="C7D2FE" w:sz="1"/>
              <w:left w:val="single" w:color="C7D2FE" w:sz="1"/>
              <w:bottom w:val="single" w:color="C7D2FE" w:sz="1"/>
              <w:right w:val="single" w:color="C7D2FE" w:sz="1"/>
            </w:tcBorders>
            <w:shd w:fill="E6FBF7" w:val="clear"/>
            <w:tcMar>
              <w:top w:type="dxa" w:w="80"/>
              <w:left w:type="dxa" w:w="120"/>
              <w:bottom w:type="dxa" w:w="80"/>
              <w:right w:type="dxa" w:w="120"/>
            </w:tcMar>
          </w:tcPr>
          <w:p>
            <w:r>
              <w:rPr>
                <w:rFonts w:ascii="Calibri" w:cs="Calibri" w:eastAsia="Calibri" w:hAnsi="Calibri"/>
                <w:b/>
                <w:bCs/>
                <w:color w:val="00C9A7"/>
                <w:sz w:val="20"/>
                <w:szCs w:val="20"/>
              </w:rPr>
              <w:t xml:space="preserve">Language</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Bahasa Indonesia / Javanese; minimal BM</w:t>
            </w:r>
          </w:p>
        </w:tc>
      </w:tr>
      <w:tr>
        <w:tc>
          <w:tcPr>
            <w:tcW w:type="dxa" w:w="2200"/>
            <w:tcBorders>
              <w:top w:val="single" w:color="C7D2FE" w:sz="1"/>
              <w:left w:val="single" w:color="C7D2FE" w:sz="1"/>
              <w:bottom w:val="single" w:color="C7D2FE" w:sz="1"/>
              <w:right w:val="single" w:color="C7D2FE" w:sz="1"/>
            </w:tcBorders>
            <w:shd w:fill="E6FBF7" w:val="clear"/>
            <w:tcMar>
              <w:top w:type="dxa" w:w="80"/>
              <w:left w:type="dxa" w:w="120"/>
              <w:bottom w:type="dxa" w:w="80"/>
              <w:right w:type="dxa" w:w="120"/>
            </w:tcMar>
          </w:tcPr>
          <w:p>
            <w:r>
              <w:rPr>
                <w:rFonts w:ascii="Calibri" w:cs="Calibri" w:eastAsia="Calibri" w:hAnsi="Calibri"/>
                <w:b/>
                <w:bCs/>
                <w:color w:val="00C9A7"/>
                <w:sz w:val="20"/>
                <w:szCs w:val="20"/>
              </w:rPr>
              <w:t xml:space="preserve">Goal</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Understand work permit renewal requirements from JTK (Labour Dept)</w:t>
            </w:r>
          </w:p>
        </w:tc>
      </w:tr>
      <w:tr>
        <w:tc>
          <w:tcPr>
            <w:tcW w:type="dxa" w:w="2200"/>
            <w:tcBorders>
              <w:top w:val="single" w:color="C7D2FE" w:sz="1"/>
              <w:left w:val="single" w:color="C7D2FE" w:sz="1"/>
              <w:bottom w:val="single" w:color="C7D2FE" w:sz="1"/>
              <w:right w:val="single" w:color="C7D2FE" w:sz="1"/>
            </w:tcBorders>
            <w:shd w:fill="E6FBF7" w:val="clear"/>
            <w:tcMar>
              <w:top w:type="dxa" w:w="80"/>
              <w:left w:type="dxa" w:w="120"/>
              <w:bottom w:type="dxa" w:w="80"/>
              <w:right w:type="dxa" w:w="120"/>
            </w:tcMar>
          </w:tcPr>
          <w:p>
            <w:r>
              <w:rPr>
                <w:rFonts w:ascii="Calibri" w:cs="Calibri" w:eastAsia="Calibri" w:hAnsi="Calibri"/>
                <w:b/>
                <w:bCs/>
                <w:color w:val="00C9A7"/>
                <w:sz w:val="20"/>
                <w:szCs w:val="20"/>
              </w:rPr>
              <w:t xml:space="preserve">Mode Used</w:t>
            </w:r>
          </w:p>
        </w:tc>
        <w:tc>
          <w:tcPr>
            <w:tcW w:type="dxa" w:w="7160"/>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Calibri" w:cs="Calibri" w:eastAsia="Calibri" w:hAnsi="Calibri"/>
                <w:sz w:val="20"/>
                <w:szCs w:val="20"/>
              </w:rPr>
              <w:t xml:space="preserve">Pekerja Migran persona — asks in Bahasa Indonesia, system retrieves from BM JTK docs, translates answer to Indonesian via Google Cloud TLLM, simplifies to Grade 5 Indonesian, reads aloud in id-ID voice</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5. Feature Specifications</w:t>
      </w:r>
    </w:p>
    <w:p>
      <w:pPr>
        <w:pStyle w:val="Heading2"/>
        <w:spacing w:before="320" w:after="160"/>
      </w:pPr>
      <w:r>
        <w:rPr>
          <w:rFonts w:ascii="Calibri" w:cs="Calibri" w:eastAsia="Calibri" w:hAnsi="Calibri"/>
          <w:b/>
          <w:bCs/>
          <w:color w:val="2D5BE3"/>
          <w:sz w:val="28"/>
          <w:szCs w:val="28"/>
        </w:rPr>
        <w:t xml:space="preserve">5.1 Core Features (MVP — Must Have)</w:t>
      </w:r>
    </w:p>
    <w:p>
      <w:pPr>
        <w:pStyle w:val="Heading3"/>
        <w:spacing w:before="240" w:after="120"/>
      </w:pPr>
      <w:r>
        <w:rPr>
          <w:rFonts w:ascii="Calibri" w:cs="Calibri" w:eastAsia="Calibri" w:hAnsi="Calibri"/>
          <w:b/>
          <w:bCs/>
          <w:color w:val="1A3A8F"/>
          <w:sz w:val="24"/>
          <w:szCs w:val="24"/>
        </w:rPr>
        <w:t xml:space="preserve">F01 — Voice-First Multimodal Input</w:t>
      </w:r>
    </w:p>
    <w:p>
      <w:pPr>
        <w:spacing w:before="80" w:after="100"/>
      </w:pPr>
      <w:r>
        <w:rPr>
          <w:rFonts w:ascii="Calibri" w:cs="Calibri" w:eastAsia="Calibri" w:hAnsi="Calibri"/>
          <w:color w:val="1E293B"/>
          <w:sz w:val="22"/>
          <w:szCs w:val="22"/>
        </w:rPr>
        <w:t xml:space="preserve">Users can interact via voice note (primary) or text input (secondary). The system transcribes spoken input using Google Cloud STT v2 with automatic language detection and code-switching support (e.g., Manglish mixing BM and English mid-sentence).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Voice recording button in WhatsApp-style chat UI</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Automatic language and dialect detection post-transcription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Text input fallback with virtual keyboard for non-voice situations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Visual waveform animation during recording to indicate active capture</w:t>
      </w:r>
    </w:p>
    <w:p>
      <w:pPr>
        <w:pStyle w:val="Heading3"/>
        <w:spacing w:before="240" w:after="120"/>
      </w:pPr>
      <w:r>
        <w:rPr>
          <w:rFonts w:ascii="Calibri" w:cs="Calibri" w:eastAsia="Calibri" w:hAnsi="Calibri"/>
          <w:b/>
          <w:bCs/>
          <w:color w:val="1A3A8F"/>
          <w:sz w:val="24"/>
          <w:szCs w:val="24"/>
        </w:rPr>
        <w:t xml:space="preserve">F02 — Dialect Detection &amp; Routing</w:t>
      </w:r>
    </w:p>
    <w:p>
      <w:pPr>
        <w:spacing w:before="80" w:after="100"/>
      </w:pPr>
      <w:r>
        <w:rPr>
          <w:rFonts w:ascii="Calibri" w:cs="Calibri" w:eastAsia="Calibri" w:hAnsi="Calibri"/>
          <w:color w:val="1E293B"/>
          <w:sz w:val="22"/>
          <w:szCs w:val="22"/>
        </w:rPr>
        <w:t xml:space="preserve">Before processing any query, the system identifies the user's language and dialect using a two-layer detection pipeline. The primary detector is lingua-py with fastText; LangDetect serves as the fallback for ambiguous inputs.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Detects language family: Malay, Indonesian, Thai, Tagalog, Vietnamese, English, Mandarin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Dialect classification within Malay: Standard BM, Kelantanese, Kedah, Sabah, Sarawak, Manglish</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Routes query to appropriate prompt template and response register based on detected dialect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Displays detected language tag in UI for user transparency</w:t>
      </w:r>
    </w:p>
    <w:p>
      <w:pPr>
        <w:pStyle w:val="Heading3"/>
        <w:spacing w:before="240" w:after="120"/>
      </w:pPr>
      <w:r>
        <w:rPr>
          <w:rFonts w:ascii="Calibri" w:cs="Calibri" w:eastAsia="Calibri" w:hAnsi="Calibri"/>
          <w:b/>
          <w:bCs/>
          <w:color w:val="1A3A8F"/>
          <w:sz w:val="24"/>
          <w:szCs w:val="24"/>
        </w:rPr>
        <w:t xml:space="preserve">F03 — Cross-Lingual RAG (Retrieval-Augmented Generation)</w:t>
      </w:r>
    </w:p>
    <w:p>
      <w:pPr>
        <w:spacing w:before="80" w:after="100"/>
      </w:pPr>
      <w:r>
        <w:rPr>
          <w:rFonts w:ascii="Calibri" w:cs="Calibri" w:eastAsia="Calibri" w:hAnsi="Calibri"/>
          <w:color w:val="1E293B"/>
          <w:sz w:val="22"/>
          <w:szCs w:val="22"/>
        </w:rPr>
        <w:t xml:space="preserve">The core retrieval pipeline. User queries in any language or dialect are embedded directly into a shared multilingual vector space using gemini-embedding-001 — no pre-translation required. The embedding model's cross-lingual alignment bridges the query-document language gap natively, retrieving the most semantically relevant BM government document chunks regardless of the query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Knowledge base: BM government PDFs (BSH, KWSP, MySejahtera, JTK, JKM, JPN)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Documents parsed with pymupdf and chunked into 512-token overlapping segments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Embeddings stored in Supabase pgvector; retrieval via cosine similarity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Top-3 most relevant BM chunks retrieved and injected into LLM prompt context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SEA-LION v4 generates answer in BM from retrieved context; Gemini 3 Flash activates as fallback</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No pre-translation of user query needed — gemini-embedding-001 handles cross-lingual matching natively</w:t>
      </w:r>
    </w:p>
    <w:p>
      <w:pPr>
        <w:pStyle w:val="Heading3"/>
        <w:spacing w:before="240" w:after="120"/>
      </w:pPr>
      <w:r>
        <w:rPr>
          <w:rFonts w:ascii="Calibri" w:cs="Calibri" w:eastAsia="Calibri" w:hAnsi="Calibri"/>
          <w:b/>
          <w:bCs/>
          <w:color w:val="1A3A8F"/>
          <w:sz w:val="24"/>
          <w:szCs w:val="24"/>
        </w:rPr>
        <w:t xml:space="preserve">F03b — Tiered Translation Layer (NEW — Core Pillar)</w:t>
      </w:r>
    </w:p>
    <w:p>
      <w:pPr>
        <w:spacing w:before="80" w:after="100"/>
      </w:pPr>
      <w:r>
        <w:rPr>
          <w:rFonts w:ascii="Calibri" w:cs="Calibri" w:eastAsia="Calibri" w:hAnsi="Calibri"/>
          <w:color w:val="1E293B"/>
          <w:sz w:val="22"/>
          <w:szCs w:val="22"/>
        </w:rPr>
        <w:t xml:space="preserve">After the LLM generates a BM answer from official document context, the answer must be translated into the user's detected language before it is useful to them. This is a core pipeline step — without it, migrant workers, English speakers, and non-BM dialect users receive answers in a language they cannot understand.</w:t>
      </w:r>
    </w:p>
    <w:p>
      <w:pPr>
        <w:pStyle w:val="ListParagraph"/>
        <w:numPr>
          <w:ilvl w:val="0"/>
          <w:numId w:val="2"/>
        </w:numPr>
        <w:spacing w:before="60" w:after="60"/>
      </w:pPr>
      <w:r>
        <w:rPr>
          <w:rFonts w:ascii="Calibri" w:cs="Calibri" w:eastAsia="Calibri" w:hAnsi="Calibri"/>
          <w:b/>
          <w:bCs/>
          <w:color w:val="1E293B"/>
          <w:sz w:val="22"/>
          <w:szCs w:val="22"/>
        </w:rPr>
        <w:t xml:space="preserve">Tier 1 — Google Cloud Translation TLLM (Advanced v3): Primary translation engine for all high-resource SEA language pairs: BM → English, Indonesian, Thai, Tagalog, Vietnamese, Mandarin, Bengali. State-of-the-art quality, managed API, covered by GCP free credits.</w:t>
      </w:r>
    </w:p>
    <w:p>
      <w:pPr>
        <w:pStyle w:val="ListParagraph"/>
        <w:numPr>
          <w:ilvl w:val="0"/>
          <w:numId w:val="2"/>
        </w:numPr>
        <w:spacing w:before="60" w:after="60"/>
      </w:pPr>
      <w:r>
        <w:rPr>
          <w:rFonts w:ascii="Calibri" w:cs="Calibri" w:eastAsia="Calibri" w:hAnsi="Calibri"/>
          <w:b/>
          <w:bCs/>
          <w:color w:val="1E293B"/>
          <w:sz w:val="22"/>
          <w:szCs w:val="22"/>
        </w:rPr>
        <w:t xml:space="preserve">Tier 2 — NLLB-200-distilled-600M (fallback): Activated only when dialect detection identifies an ultra-low-resource dialect outside TLLM coverage (e.g., Iban, Kadazan-Dusun, Bajau). NLLB-200 covers 200 languages and is the strongest available model for these edge cases.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Translation routing logic: dialect_code → check TLLM language support list → route to Tier 1 or Tier 2 accordingly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Translation occurs on the BM-language answer BEFORE simplification, so simplification operates on the already-translated target-language text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The translated answer, not the BM original, is what the user sees, hears, and shares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Note on NLLB-200 licence: CC-BY-NC 4.0 — acceptable for hackathon/non-commercial demo; flag for production replacement</w:t>
      </w:r>
    </w:p>
    <w:p>
      <w:pPr>
        <w:pStyle w:val="Heading3"/>
        <w:spacing w:before="240" w:after="120"/>
      </w:pPr>
      <w:r>
        <w:rPr>
          <w:rFonts w:ascii="Calibri" w:cs="Calibri" w:eastAsia="Calibri" w:hAnsi="Calibri"/>
          <w:b/>
          <w:bCs/>
          <w:color w:val="1A3A8F"/>
          <w:sz w:val="24"/>
          <w:szCs w:val="24"/>
        </w:rPr>
        <w:t xml:space="preserve">F04 — Jargon Simplification Engine</w:t>
      </w:r>
    </w:p>
    <w:p>
      <w:pPr>
        <w:spacing w:before="80" w:after="100"/>
      </w:pPr>
      <w:r>
        <w:rPr>
          <w:rFonts w:ascii="Calibri" w:cs="Calibri" w:eastAsia="Calibri" w:hAnsi="Calibri"/>
          <w:color w:val="1E293B"/>
          <w:sz w:val="22"/>
          <w:szCs w:val="22"/>
        </w:rPr>
        <w:t xml:space="preserve">After translation (F03b), the translated target-language answer undergoes a two-stage simplification pipeline. Crucially, simplification operates on the already-translated text — Grade 5 readability is validated in the user's own language, not in BM.</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Stage 1: Named entity extraction using spaCy to identify legal and medical terms in the translated text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Stage 2: LLM-driven replacement of jargon with plain-language equivalents at Grade 5 reading level in the target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Flesch-Kincaid grade scoring via textstat to validate target readability achieved in target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Inline tooltip/pop-up for each simplified term showing its original official BM definition for reference</w:t>
      </w:r>
    </w:p>
    <w:p>
      <w:pPr>
        <w:pStyle w:val="Heading3"/>
        <w:spacing w:before="240" w:after="120"/>
      </w:pPr>
      <w:r>
        <w:rPr>
          <w:rFonts w:ascii="Calibri" w:cs="Calibri" w:eastAsia="Calibri" w:hAnsi="Calibri"/>
          <w:b/>
          <w:bCs/>
          <w:color w:val="1A3A8F"/>
          <w:sz w:val="24"/>
          <w:szCs w:val="24"/>
        </w:rPr>
        <w:t xml:space="preserve">F05 — Semantic Preservation Score</w:t>
      </w:r>
    </w:p>
    <w:p>
      <w:pPr>
        <w:spacing w:before="80" w:after="100"/>
      </w:pPr>
      <w:r>
        <w:rPr>
          <w:rFonts w:ascii="Calibri" w:cs="Calibri" w:eastAsia="Calibri" w:hAnsi="Calibri"/>
          <w:color w:val="1E293B"/>
          <w:sz w:val="22"/>
          <w:szCs w:val="22"/>
        </w:rPr>
        <w:t xml:space="preserve">A critical trust and safety feature. After translation and simplification, the system computes a cross-lingual semantic similarity score between the original BM retrieved text and the final translated+simplified output. This validates that no legal meaning was lost during either the translation or simplification steps — both are checked in a single cross-lingual comparison using the multilingual sentence-transformers model.</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Uses sentence-transformers (paraphrase-multilingual-MiniLM-L12-v2) — supports cross-lingual comparison natively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Cosine similarity threshold: ≥ 0.90 required before answer is displayed to user</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If score falls below threshold, system re-attempts with a more conservative translation+simplification prompt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Score displayed as a visual "Meaning Accuracy" confidence bar in the UI</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Displayed alongside the answer in the user's language — always visible, never hidden</w:t>
      </w:r>
    </w:p>
    <w:p>
      <w:pPr>
        <w:pStyle w:val="Heading3"/>
        <w:spacing w:before="240" w:after="120"/>
      </w:pPr>
      <w:r>
        <w:rPr>
          <w:rFonts w:ascii="Calibri" w:cs="Calibri" w:eastAsia="Calibri" w:hAnsi="Calibri"/>
          <w:b/>
          <w:bCs/>
          <w:color w:val="1A3A8F"/>
          <w:sz w:val="24"/>
          <w:szCs w:val="24"/>
        </w:rPr>
        <w:t xml:space="preserve">F06 — Source Grounding &amp; Citation Panel</w:t>
      </w:r>
    </w:p>
    <w:p>
      <w:pPr>
        <w:spacing w:before="80" w:after="100"/>
      </w:pPr>
      <w:r>
        <w:rPr>
          <w:rFonts w:ascii="Calibri" w:cs="Calibri" w:eastAsia="Calibri" w:hAnsi="Calibri"/>
          <w:color w:val="1E293B"/>
          <w:sz w:val="22"/>
          <w:szCs w:val="22"/>
        </w:rPr>
        <w:t xml:space="preserve">Every answer includes a visible "Source of Truth" panel showing which official BM government document the answer was derived from. The source excerpt is shown in its original BM form alongside the translated answer, reinforcing trust and enabling independent verification.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Split-screen layout: translated+simplified answer in user's language (left), original BM source excerpt (right)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Source label makes document language explicit: e.g., "Sumber: Panduan BSH 2025 (Bahasa Malaysia)"</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Clickable link to the original government PDF document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"Confidence" indicator based on RAG retrieval score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If confidence is low, system states uncertainty in user's language and directs them to the relevant agency</w:t>
      </w:r>
    </w:p>
    <w:p>
      <w:pPr>
        <w:pStyle w:val="Heading3"/>
        <w:spacing w:before="240" w:after="120"/>
      </w:pPr>
      <w:r>
        <w:rPr>
          <w:rFonts w:ascii="Calibri" w:cs="Calibri" w:eastAsia="Calibri" w:hAnsi="Calibri"/>
          <w:b/>
          <w:bCs/>
          <w:color w:val="1A3A8F"/>
          <w:sz w:val="24"/>
          <w:szCs w:val="24"/>
        </w:rPr>
        <w:t xml:space="preserve">F07 — Voice Output (Text-to-Speech)</w:t>
      </w:r>
    </w:p>
    <w:p>
      <w:pPr>
        <w:spacing w:before="80" w:after="100"/>
      </w:pPr>
      <w:r>
        <w:rPr>
          <w:rFonts w:ascii="Calibri" w:cs="Calibri" w:eastAsia="Calibri" w:hAnsi="Calibri"/>
          <w:color w:val="1E293B"/>
          <w:sz w:val="22"/>
          <w:szCs w:val="22"/>
        </w:rPr>
        <w:t xml:space="preserve">Answers are read aloud to the user in their detected language using Google Cloud TTS Neural2 voices, which support natural-sounding Malay, Indonesian, Thai, and Filipino output.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Auto-play voice response for Warga Emas (elderly) persona</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Manual play button for other personas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Speed control: 0.75x for elderly users by default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Language-matched voice: ms-MY for BM, id-ID for Indonesian, th-TH for Thai, fil-PH for Filipino</w:t>
      </w:r>
    </w:p>
    <w:p>
      <w:pPr>
        <w:pStyle w:val="Heading2"/>
        <w:spacing w:before="320" w:after="160"/>
      </w:pPr>
      <w:r>
        <w:rPr>
          <w:rFonts w:ascii="Calibri" w:cs="Calibri" w:eastAsia="Calibri" w:hAnsi="Calibri"/>
          <w:b/>
          <w:bCs/>
          <w:color w:val="2D5BE3"/>
          <w:sz w:val="28"/>
          <w:szCs w:val="28"/>
        </w:rPr>
        <w:t xml:space="preserve">5.2 Enhanced Features (High Impact — Should Have)</w:t>
      </w:r>
    </w:p>
    <w:p>
      <w:pPr>
        <w:pStyle w:val="Heading3"/>
        <w:spacing w:before="240" w:after="120"/>
      </w:pPr>
      <w:r>
        <w:rPr>
          <w:rFonts w:ascii="Calibri" w:cs="Calibri" w:eastAsia="Calibri" w:hAnsi="Calibri"/>
          <w:b/>
          <w:bCs/>
          <w:color w:val="1A3A8F"/>
          <w:sz w:val="24"/>
          <w:szCs w:val="24"/>
        </w:rPr>
        <w:t xml:space="preserve">F08 — Persona Mode Selector</w:t>
      </w:r>
    </w:p>
    <w:p>
      <w:pPr>
        <w:spacing w:before="80" w:after="100"/>
      </w:pPr>
      <w:r>
        <w:rPr>
          <w:rFonts w:ascii="Calibri" w:cs="Calibri" w:eastAsia="Calibri" w:hAnsi="Calibri"/>
          <w:color w:val="1E293B"/>
          <w:sz w:val="22"/>
          <w:szCs w:val="22"/>
        </w:rPr>
        <w:t xml:space="preserve">Three pre-configured access modes that adjust the entire interface — font size, interaction style, language defaults, and feature prioritisation.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Warga Emas (Elderly): 18pt+ fonts, high contrast, auto voice-play, simplified UI, slower TTS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Pekerja Migran (Migrant Worker): Language selector for ID/PH/TH/VN, document checklist focus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Penduduk Luar Bandar (Rural Community): Voice-first default, visual instruction cards, minimal text</w:t>
      </w:r>
    </w:p>
    <w:p>
      <w:pPr>
        <w:pStyle w:val="Heading3"/>
        <w:spacing w:before="240" w:after="120"/>
      </w:pPr>
      <w:r>
        <w:rPr>
          <w:rFonts w:ascii="Calibri" w:cs="Calibri" w:eastAsia="Calibri" w:hAnsi="Calibri"/>
          <w:b/>
          <w:bCs/>
          <w:color w:val="1A3A8F"/>
          <w:sz w:val="24"/>
          <w:szCs w:val="24"/>
        </w:rPr>
        <w:t xml:space="preserve">F09 — Visual Step-by-Step Instruction Cards</w:t>
      </w:r>
    </w:p>
    <w:p>
      <w:pPr>
        <w:spacing w:before="80" w:after="100"/>
      </w:pPr>
      <w:r>
        <w:rPr>
          <w:rFonts w:ascii="Calibri" w:cs="Calibri" w:eastAsia="Calibri" w:hAnsi="Calibri"/>
          <w:color w:val="1E293B"/>
          <w:sz w:val="22"/>
          <w:szCs w:val="22"/>
        </w:rPr>
        <w:t xml:space="preserve">For procedural government processes (renewing IC, applying for BSH, registering at a clinic), the system generates a visual step-by-step card with numbered icons and short action labels.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LLM extracts procedural steps from retrieved government text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Steps rendered as icon cards (Material Icons) with 1-sentence labels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Shareable as image for users to screenshot and bring to government offices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Available in user's dialect with formal BM reference below each step</w:t>
      </w:r>
    </w:p>
    <w:p>
      <w:pPr>
        <w:pStyle w:val="Heading3"/>
        <w:spacing w:before="240" w:after="120"/>
      </w:pPr>
      <w:r>
        <w:rPr>
          <w:rFonts w:ascii="Calibri" w:cs="Calibri" w:eastAsia="Calibri" w:hAnsi="Calibri"/>
          <w:b/>
          <w:bCs/>
          <w:color w:val="1A3A8F"/>
          <w:sz w:val="24"/>
          <w:szCs w:val="24"/>
        </w:rPr>
        <w:t xml:space="preserve">F10 — Shareable Summary Card</w:t>
      </w:r>
    </w:p>
    <w:p>
      <w:pPr>
        <w:spacing w:before="80" w:after="100"/>
      </w:pPr>
      <w:r>
        <w:rPr>
          <w:rFonts w:ascii="Calibri" w:cs="Calibri" w:eastAsia="Calibri" w:hAnsi="Calibri"/>
          <w:color w:val="1E293B"/>
          <w:sz w:val="22"/>
          <w:szCs w:val="22"/>
        </w:rPr>
        <w:t xml:space="preserve">Users can generate a clean, printable summary card of their query and the simplified answer — designed to be shown to a government officer or family member.</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Single-page card with: query, simplified answer, eligibility criteria, required documents, relevant agency name and address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Available as PNG download or WhatsApp share link</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Includes QR code linking to original government source document</w:t>
      </w:r>
    </w:p>
    <w:p>
      <w:pPr>
        <w:pStyle w:val="Heading2"/>
        <w:spacing w:before="320" w:after="160"/>
      </w:pPr>
      <w:r>
        <w:rPr>
          <w:rFonts w:ascii="Calibri" w:cs="Calibri" w:eastAsia="Calibri" w:hAnsi="Calibri"/>
          <w:b/>
          <w:bCs/>
          <w:color w:val="2D5BE3"/>
          <w:sz w:val="28"/>
          <w:szCs w:val="28"/>
        </w:rPr>
        <w:t xml:space="preserve">5.3 Stretch Features (Innovation — Nice to Have)</w:t>
      </w:r>
    </w:p>
    <w:p>
      <w:pPr>
        <w:pStyle w:val="Heading3"/>
        <w:spacing w:before="240" w:after="120"/>
      </w:pPr>
      <w:r>
        <w:rPr>
          <w:rFonts w:ascii="Calibri" w:cs="Calibri" w:eastAsia="Calibri" w:hAnsi="Calibri"/>
          <w:b/>
          <w:bCs/>
          <w:color w:val="1A3A8F"/>
          <w:sz w:val="24"/>
          <w:szCs w:val="24"/>
        </w:rPr>
        <w:t xml:space="preserve">F11 — Synthetic Dialect Data Strategy</w:t>
      </w:r>
    </w:p>
    <w:p>
      <w:pPr>
        <w:spacing w:before="80" w:after="100"/>
      </w:pPr>
      <w:r>
        <w:rPr>
          <w:rFonts w:ascii="Calibri" w:cs="Calibri" w:eastAsia="Calibri" w:hAnsi="Calibri"/>
          <w:color w:val="1E293B"/>
          <w:sz w:val="22"/>
          <w:szCs w:val="22"/>
        </w:rPr>
        <w:t xml:space="preserve">For ultra-low-resource dialects (Iban, Kadazan-Dusun, Bajau), the system documents a principled data strategy using LLM-generated synthetic training examples to demonstrate awareness of data scarcity and a scalable path forward.</w:t>
      </w:r>
    </w:p>
    <w:p>
      <w:pPr>
        <w:pStyle w:val="Heading3"/>
        <w:spacing w:before="240" w:after="120"/>
      </w:pPr>
      <w:r>
        <w:rPr>
          <w:rFonts w:ascii="Calibri" w:cs="Calibri" w:eastAsia="Calibri" w:hAnsi="Calibri"/>
          <w:b/>
          <w:bCs/>
          <w:color w:val="1A3A8F"/>
          <w:sz w:val="24"/>
          <w:szCs w:val="24"/>
        </w:rPr>
        <w:t xml:space="preserve">F12 — Cultural Context Layer</w:t>
      </w:r>
    </w:p>
    <w:p>
      <w:pPr>
        <w:spacing w:before="80" w:after="100"/>
      </w:pPr>
      <w:r>
        <w:rPr>
          <w:rFonts w:ascii="Calibri" w:cs="Calibri" w:eastAsia="Calibri" w:hAnsi="Calibri"/>
          <w:color w:val="1E293B"/>
          <w:sz w:val="22"/>
          <w:szCs w:val="22"/>
        </w:rPr>
        <w:t xml:space="preserve">Narrow implementation: Hijri calendar date conversion using the hijri-converter Python library. When an official document references a Gregorian deadline, the system optionally displays the Hijri equivalent for Muslim users.</w:t>
      </w:r>
    </w:p>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6. System Architecture</w:t>
      </w:r>
    </w:p>
    <w:p>
      <w:pPr>
        <w:pStyle w:val="Heading2"/>
        <w:spacing w:before="320" w:after="160"/>
      </w:pPr>
      <w:r>
        <w:rPr>
          <w:rFonts w:ascii="Calibri" w:cs="Calibri" w:eastAsia="Calibri" w:hAnsi="Calibri"/>
          <w:b/>
          <w:bCs/>
          <w:color w:val="2D5BE3"/>
          <w:sz w:val="28"/>
          <w:szCs w:val="28"/>
        </w:rPr>
        <w:t xml:space="preserve">6.1 High-Level Architecture</w:t>
      </w:r>
    </w:p>
    <w:p>
      <w:pPr>
        <w:spacing w:before="80" w:after="100"/>
      </w:pPr>
      <w:r>
        <w:rPr>
          <w:rFonts w:ascii="Calibri" w:cs="Calibri" w:eastAsia="Calibri" w:hAnsi="Calibri"/>
          <w:color w:val="1E293B"/>
          <w:sz w:val="22"/>
          <w:szCs w:val="22"/>
        </w:rPr>
        <w:t xml:space="preserve">The system follows a three-tier architecture with a clear separation between the presentation layer (Next.js frontend), the intelligence layer (FastAPI backend), and the data layer (Supabase).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E3" w:sz="1"/>
              <w:left w:val="single" w:color="2D5BE3" w:sz="12"/>
              <w:bottom w:val="single" w:color="2D5BE3" w:sz="1"/>
              <w:right w:val="single" w:color="2D5BE3" w:sz="1"/>
            </w:tcBorders>
            <w:shd w:fill="EEF2FF" w:val="clear"/>
            <w:tcMar>
              <w:top w:type="dxa" w:w="120"/>
              <w:left w:type="dxa" w:w="200"/>
              <w:bottom w:type="dxa" w:w="120"/>
              <w:right w:type="dxa" w:w="200"/>
            </w:tcMar>
          </w:tcPr>
          <w:p>
            <w:pPr>
              <w:spacing w:before="0" w:after="60"/>
            </w:pPr>
            <w:r>
              <w:rPr>
                <w:rFonts w:ascii="Calibri" w:cs="Calibri" w:eastAsia="Calibri" w:hAnsi="Calibri"/>
                <w:b/>
                <w:bCs/>
                <w:color w:val="2D5BE3"/>
                <w:sz w:val="22"/>
                <w:szCs w:val="22"/>
              </w:rPr>
              <w:t xml:space="preserve">Full Pipeline Flow</w:t>
            </w:r>
          </w:p>
          <w:p>
            <w:pPr>
              <w:spacing w:before="0" w:after="0"/>
            </w:pPr>
            <w:r>
              <w:rPr>
                <w:rFonts w:ascii="Calibri" w:cs="Calibri" w:eastAsia="Calibri" w:hAnsi="Calibri"/>
                <w:color w:val="1E293B"/>
                <w:sz w:val="22"/>
                <w:szCs w:val="22"/>
              </w:rPr>
              <w:t xml:space="preserve">User (Voice/Text, any language) → Google Cloud STT v2 (transcription) → lingua-py/fastText (dialect detection) → gemini-embedding-001 (cross-lingual embed, no pre-translation needed) → Supabase pgvector (retrieve top-3 BM chunks) → SEA-LION v4 (generate BM answer from context) → [NEW] Tiered Translation: Google Cloud TLLM → target language / NLLB-200 for low-resource → Simplification Engine (Grade 5 in target language) → Semantic Preservation Score (cross-lingual validation ≥ 0.90) → Google Cloud TTS (voice in user's language) → Response to User</w:t>
            </w:r>
          </w:p>
        </w:tc>
      </w:tr>
    </w:tbl>
    <w:p>
      <w:pPr>
        <w:spacing w:before="120" w:after="0"/>
      </w:pPr>
      <w:r>
        <w:t xml:space="preserve"/>
      </w:r>
    </w:p>
    <w:p>
      <w:pPr>
        <w:pStyle w:val="Heading2"/>
        <w:spacing w:before="320" w:after="160"/>
      </w:pPr>
      <w:r>
        <w:rPr>
          <w:rFonts w:ascii="Calibri" w:cs="Calibri" w:eastAsia="Calibri" w:hAnsi="Calibri"/>
          <w:b/>
          <w:bCs/>
          <w:color w:val="2D5BE3"/>
          <w:sz w:val="28"/>
          <w:szCs w:val="28"/>
        </w:rPr>
        <w:t xml:space="preserve">6.2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30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39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Frontend</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14 (App Router)</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Chat UI, persona selector, source panel, audio capture</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Backend API</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FastAPI (Python 3.11)</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Request routing, pipeline orchestration, response streaming</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STT Service</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STT v2</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Voice transcription, dialect-aware, code-switching support</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Dialect Detector</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lingua-py + fastText + LangDetect</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Language &amp; dialect classification, routing logic</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 Parser</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pymupdf</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PDF ingestion, text extraction, chunking pipeline</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Embedding Model</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gemini-embedding-001 (Vertex AI)</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Multilingual text embeddings, #1 MTEB Multilingual</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Vector Store</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pgvector</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Embedding storage, cosine similarity retrieval</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RAG Framework</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LlamaIndex</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Document indexing, query pipeline, context injection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Primary LLM</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SEA-LION v4 (AI Singapore API)</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Generates answer in BM from retrieved context</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Fallback LLM</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Gemini 3 Flash (gemini-3-flash-preview)</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Activates when SEA-LION API is unavailable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Translation (Primary)</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Translation TLLM (Advanced v3)</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BM → target language; all high-resource SEA languages</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Translation (Fallback)</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NLLB-200-distilled-600M</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Ultra-low-resource dialects: Iban, Kadazan, Bajau</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Simplification</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spaCy + LLM prompt + textstat</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Jargon extraction, plain-language rewrite in target language</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Semantic Scoring</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sentence-transformers (MiniLM-L12-v2)</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Cosine similarity between original and simplified text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TTS Service</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TTS Neural2</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Spoken response in detected language/dialect</w:t>
            </w:r>
          </w:p>
        </w:tc>
      </w:tr>
      <w:tr>
        <w:tc>
          <w:tcPr>
            <w:tcW w:type="dxa" w:w="24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Database</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Supabase (PostgreSQL)</w:t>
            </w:r>
          </w:p>
        </w:tc>
        <w:tc>
          <w:tcPr>
            <w:tcW w:type="dxa" w:w="39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Document metadata, conversation context storage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File Storage</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Storage</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Government PDF document storage pre-ingestion</w:t>
            </w:r>
          </w:p>
        </w:tc>
      </w:tr>
    </w:tbl>
    <w:p>
      <w:pPr>
        <w:spacing w:before="120" w:after="0"/>
      </w:pPr>
      <w:r>
        <w:t xml:space="preserve"/>
      </w:r>
    </w:p>
    <w:p>
      <w:pPr>
        <w:pStyle w:val="Heading2"/>
        <w:spacing w:before="320" w:after="160"/>
      </w:pPr>
      <w:r>
        <w:rPr>
          <w:rFonts w:ascii="Calibri" w:cs="Calibri" w:eastAsia="Calibri" w:hAnsi="Calibri"/>
          <w:b/>
          <w:bCs/>
          <w:color w:val="2D5BE3"/>
          <w:sz w:val="28"/>
          <w:szCs w:val="28"/>
        </w:rPr>
        <w:t xml:space="preserve">6.3 RAG Pipeline Detail</w:t>
      </w:r>
    </w:p>
    <w:p>
      <w:pPr>
        <w:spacing w:before="80" w:after="100"/>
      </w:pPr>
      <w:r>
        <w:rPr>
          <w:rFonts w:ascii="Calibri" w:cs="Calibri" w:eastAsia="Calibri" w:hAnsi="Calibri"/>
          <w:color w:val="1E293B"/>
          <w:sz w:val="22"/>
          <w:szCs w:val="22"/>
        </w:rPr>
        <w:t xml:space="preserve">The RAG pipeline operates in two phases: an offline indexing phase (run once when new documents are added) and an online query phase (run on every user query).</w:t>
      </w:r>
    </w:p>
    <w:p>
      <w:pPr>
        <w:spacing w:before="100" w:after="0"/>
      </w:pPr>
      <w:r>
        <w:t xml:space="preserve"/>
      </w:r>
    </w:p>
    <w:p>
      <w:pPr>
        <w:spacing w:before="80" w:after="100"/>
      </w:pPr>
      <w:r>
        <w:rPr>
          <w:rFonts w:ascii="Calibri" w:cs="Calibri" w:eastAsia="Calibri" w:hAnsi="Calibri"/>
          <w:color w:val="1E293B"/>
          <w:sz w:val="22"/>
          <w:szCs w:val="22"/>
        </w:rPr>
        <w:t xml:space="preserve">Offline Indexing Phase: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Government PDFs uploaded to Supabase Storage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pymupdf extracts text; documents chunked into 512-token segments with 50-token overlap</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Each chunk embedded using gemini-embedding-001 via Vertex AI</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Embeddings + metadata stored in Supabase pgvector table</w:t>
      </w:r>
    </w:p>
    <w:p>
      <w:pPr>
        <w:spacing w:before="100" w:after="0"/>
      </w:pPr>
      <w:r>
        <w:t xml:space="preserve"/>
      </w:r>
    </w:p>
    <w:p>
      <w:pPr>
        <w:spacing w:before="80" w:after="100"/>
      </w:pPr>
      <w:r>
        <w:rPr>
          <w:rFonts w:ascii="Calibri" w:cs="Calibri" w:eastAsia="Calibri" w:hAnsi="Calibri"/>
          <w:color w:val="1E293B"/>
          <w:sz w:val="22"/>
          <w:szCs w:val="22"/>
        </w:rPr>
        <w:t xml:space="preserve">Online Query Phase: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User input (voice/text) transcribed by Google Cloud STT v2</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Dialect detected by lingua-py / fastText pipeline — target language stored for routing</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Query embedded directly using gemini-embedding-001 (no pre-translation needed — cross-lingual embedding handles it)</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Top-3 BM document chunks retrieved from Supabase pgvector by cosine similarity</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Retrieved BM context + prompt passed to SEA-LION v4 → answer generated in BM</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[NEW] Translation routing: if target language in TLLM support list → Google Cloud TLLM; else → NLLB-200. BM answer translated into user's language.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Simplification Engine (spaCy + LLM) rewrites translated answer to Grade 5 in target language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Semantic Preservation Score computed cross-lingually (BM original vs translated+simplified) — threshold ≥ 0.90</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Final answer in target language returned to frontend with BM source citations</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Google Cloud TTS converts target-language answer to speech in detected language voice</w:t>
      </w:r>
    </w:p>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7. API Specifications</w:t>
      </w:r>
    </w:p>
    <w:p>
      <w:pPr>
        <w:pStyle w:val="Heading2"/>
        <w:spacing w:before="320" w:after="160"/>
      </w:pPr>
      <w:r>
        <w:rPr>
          <w:rFonts w:ascii="Calibri" w:cs="Calibri" w:eastAsia="Calibri" w:hAnsi="Calibri"/>
          <w:b/>
          <w:bCs/>
          <w:color w:val="2D5BE3"/>
          <w:sz w:val="28"/>
          <w:szCs w:val="28"/>
        </w:rPr>
        <w:t xml:space="preserve">7.1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rPr>
          <w:tblHeader/>
        </w:trPr>
        <w:tc>
          <w:tcPr>
            <w:tcW w:type="dxa" w:w="18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12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33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30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Request Body</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/api/query</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POST</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Main query endpoint — processes text or transcribed voice query through full pipeline: RAG → LLM → Translation → Simplification → Scoring</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query: str, persona: str, language: str }</w:t>
            </w:r>
          </w:p>
        </w:tc>
      </w:tr>
      <w:tr>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/api/translate</w:t>
            </w:r>
          </w:p>
        </w:tc>
        <w:tc>
          <w:tcPr>
            <w:tcW w:type="dxa" w:w="1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POST</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Translates text from BM to target language — routes to Google Cloud TLLM (primary) or NLLB-200 (fallback) based on target language support</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 text: str, source_lang: str, target_lang: str }</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/api/transcribe</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POST</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Accepts audio blob, returns transcribed text and detected language via Google Cloud STT v2</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audio: base64, format: str }</w:t>
            </w:r>
          </w:p>
        </w:tc>
      </w:tr>
      <w:tr>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/api/synthesise</w:t>
            </w:r>
          </w:p>
        </w:tc>
        <w:tc>
          <w:tcPr>
            <w:tcW w:type="dxa" w:w="1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POST</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Converts text to speech audio using Google Cloud TTS Neural2 in specified language</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 text: str, language: str, speed: float }</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/api/ingest</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POST</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Admin — triggers ingestion pipeline for new government PDF document into vector store</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file_url: str, doc_type: str }</w:t>
            </w:r>
          </w:p>
        </w:tc>
      </w:tr>
      <w:tr>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/api/health</w:t>
            </w:r>
          </w:p>
        </w:tc>
        <w:tc>
          <w:tcPr>
            <w:tcW w:type="dxa" w:w="1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GET</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Service health check — verifies all upstream API connections (SEA-LION, Vertex AI, Cloud Translation, Supabase)</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w:t>
            </w:r>
          </w:p>
        </w:tc>
      </w:tr>
    </w:tbl>
    <w:p>
      <w:pPr>
        <w:spacing w:before="120" w:after="0"/>
      </w:pPr>
      <w:r>
        <w:t xml:space="preserve"/>
      </w:r>
    </w:p>
    <w:p>
      <w:pPr>
        <w:pStyle w:val="Heading2"/>
        <w:spacing w:before="320" w:after="160"/>
      </w:pPr>
      <w:r>
        <w:rPr>
          <w:rFonts w:ascii="Calibri" w:cs="Calibri" w:eastAsia="Calibri" w:hAnsi="Calibri"/>
          <w:b/>
          <w:bCs/>
          <w:color w:val="2D5BE3"/>
          <w:sz w:val="28"/>
          <w:szCs w:val="28"/>
        </w:rPr>
        <w:t xml:space="preserve">7.2 Key Response Schema — /api/query</w:t>
      </w:r>
    </w:p>
    <w:p>
      <w:pPr>
        <w:spacing w:before="80" w:after="100"/>
      </w:pPr>
      <w:r>
        <w:rPr>
          <w:rFonts w:ascii="Calibri" w:cs="Calibri" w:eastAsia="Calibri" w:hAnsi="Calibri"/>
          <w:color w:val="1E293B"/>
          <w:sz w:val="22"/>
          <w:szCs w:val="22"/>
        </w:rPr>
        <w:t xml:space="preserve">The query endpoint returns a structured JSON response containing:</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answer (str) — translated + simplified plain-language answer in user's detected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answer_bm (str) — the intermediate BM answer generated by SEA-LION v4, before translation (for debugging/transparency)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original_text (str) — raw retrieved BM text from government document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translation_model (str) — which translation model was used: "google_tllm" or "nllb200"</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semantic_score (float) — cross-lingual cosine similarity between BM original and translated+simplified answer (0.0–1.0)</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readability_grade (float) — Flesch-Kincaid grade level of the answer in the target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sources (list) — list of BM source citations with document name, section, page number, and URL</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detected_language (str) — ISO language code of detected input dialect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confidence (float) — RAG retrieval confidence score (0.0–1.0)</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audio_url (str) — URL to generated TTS audio file in user's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steps (list, optional) — structured step-by-step procedure if query is procedural, translated to target language</w:t>
      </w:r>
    </w:p>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8. UI/UX Specifications</w:t>
      </w:r>
    </w:p>
    <w:p>
      <w:pPr>
        <w:pStyle w:val="Heading2"/>
        <w:spacing w:before="320" w:after="160"/>
      </w:pPr>
      <w:r>
        <w:rPr>
          <w:rFonts w:ascii="Calibri" w:cs="Calibri" w:eastAsia="Calibri" w:hAnsi="Calibri"/>
          <w:b/>
          <w:bCs/>
          <w:color w:val="2D5BE3"/>
          <w:sz w:val="28"/>
          <w:szCs w:val="28"/>
        </w:rPr>
        <w:t xml:space="preserve">8.1 Design Principles</w:t>
      </w:r>
    </w:p>
    <w:p>
      <w:pPr>
        <w:pStyle w:val="ListParagraph"/>
        <w:numPr>
          <w:ilvl w:val="0"/>
          <w:numId w:val="2"/>
        </w:numPr>
        <w:spacing w:before="60" w:after="60"/>
      </w:pPr>
      <w:r>
        <w:rPr>
          <w:rFonts w:ascii="Calibri" w:cs="Calibri" w:eastAsia="Calibri" w:hAnsi="Calibri"/>
          <w:b/>
          <w:bCs/>
          <w:color w:val="1E293B"/>
          <w:sz w:val="22"/>
          <w:szCs w:val="22"/>
        </w:rPr>
        <w:t xml:space="preserve">Voice-First: Microphone button is the largest, most prominent element — not an afterthought</w:t>
      </w:r>
    </w:p>
    <w:p>
      <w:pPr>
        <w:pStyle w:val="ListParagraph"/>
        <w:numPr>
          <w:ilvl w:val="0"/>
          <w:numId w:val="2"/>
        </w:numPr>
        <w:spacing w:before="60" w:after="60"/>
      </w:pPr>
      <w:r>
        <w:rPr>
          <w:rFonts w:ascii="Calibri" w:cs="Calibri" w:eastAsia="Calibri" w:hAnsi="Calibri"/>
          <w:b/>
          <w:bCs/>
          <w:color w:val="1E293B"/>
          <w:sz w:val="22"/>
          <w:szCs w:val="22"/>
        </w:rPr>
        <w:t xml:space="preserve">WhatsApp-Familiar: Chat bubble layout reduces cognitive load for users unfamiliar with web apps</w:t>
      </w:r>
    </w:p>
    <w:p>
      <w:pPr>
        <w:pStyle w:val="ListParagraph"/>
        <w:numPr>
          <w:ilvl w:val="0"/>
          <w:numId w:val="2"/>
        </w:numPr>
        <w:spacing w:before="60" w:after="60"/>
      </w:pPr>
      <w:r>
        <w:rPr>
          <w:rFonts w:ascii="Calibri" w:cs="Calibri" w:eastAsia="Calibri" w:hAnsi="Calibri"/>
          <w:b/>
          <w:bCs/>
          <w:color w:val="1E293B"/>
          <w:sz w:val="22"/>
          <w:szCs w:val="22"/>
        </w:rPr>
        <w:t xml:space="preserve">Progressive Disclosure: Simple answer shown first; source panel, score, and details available on demand</w:t>
      </w:r>
    </w:p>
    <w:p>
      <w:pPr>
        <w:pStyle w:val="ListParagraph"/>
        <w:numPr>
          <w:ilvl w:val="0"/>
          <w:numId w:val="2"/>
        </w:numPr>
        <w:spacing w:before="60" w:after="60"/>
      </w:pPr>
      <w:r>
        <w:rPr>
          <w:rFonts w:ascii="Calibri" w:cs="Calibri" w:eastAsia="Calibri" w:hAnsi="Calibri"/>
          <w:b/>
          <w:bCs/>
          <w:color w:val="1E293B"/>
          <w:sz w:val="22"/>
          <w:szCs w:val="22"/>
        </w:rPr>
        <w:t xml:space="preserve">Persona-Adaptive: Font size, contrast, TTS speed, and UI density all adjust to selected persona</w:t>
      </w:r>
    </w:p>
    <w:p>
      <w:pPr>
        <w:pStyle w:val="ListParagraph"/>
        <w:numPr>
          <w:ilvl w:val="0"/>
          <w:numId w:val="2"/>
        </w:numPr>
        <w:spacing w:before="60" w:after="60"/>
      </w:pPr>
      <w:r>
        <w:rPr>
          <w:rFonts w:ascii="Calibri" w:cs="Calibri" w:eastAsia="Calibri" w:hAnsi="Calibri"/>
          <w:b/>
          <w:bCs/>
          <w:color w:val="1E293B"/>
          <w:sz w:val="22"/>
          <w:szCs w:val="22"/>
        </w:rPr>
        <w:t xml:space="preserve">Trust-Visible: Semantic score and source citation are always visible — never hidden from the user</w:t>
      </w:r>
    </w:p>
    <w:p>
      <w:pPr>
        <w:pStyle w:val="Heading2"/>
        <w:spacing w:before="320" w:after="160"/>
      </w:pPr>
      <w:r>
        <w:rPr>
          <w:rFonts w:ascii="Calibri" w:cs="Calibri" w:eastAsia="Calibri" w:hAnsi="Calibri"/>
          <w:b/>
          <w:bCs/>
          <w:color w:val="2D5BE3"/>
          <w:sz w:val="28"/>
          <w:szCs w:val="28"/>
        </w:rPr>
        <w:t xml:space="preserve">8.2 Screen Layout</w:t>
      </w:r>
    </w:p>
    <w:p>
      <w:pPr>
        <w:spacing w:before="80" w:after="100"/>
      </w:pPr>
      <w:r>
        <w:rPr>
          <w:rFonts w:ascii="Calibri" w:cs="Calibri" w:eastAsia="Calibri" w:hAnsi="Calibri"/>
          <w:color w:val="1E293B"/>
          <w:sz w:val="22"/>
          <w:szCs w:val="22"/>
        </w:rPr>
        <w:t xml:space="preserve">The main interface consists of four zones:</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Top Bar — App title, language display, persona selector toggle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Chat Panel (center) — WhatsApp-style conversation bubbles, user queries left, AI responses right</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Source Panel (right sidebar, collapsible) — split-screen showing highlighted source text and document metadata</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Input Bar (bottom) — microphone button (primary), text field, send button, voice playback button</w:t>
      </w:r>
    </w:p>
    <w:p>
      <w:pPr>
        <w:spacing w:before="100" w:after="0"/>
      </w:pPr>
      <w:r>
        <w:t xml:space="preserve"/>
      </w:r>
    </w:p>
    <w:p>
      <w:pPr>
        <w:pStyle w:val="Heading2"/>
        <w:spacing w:before="320" w:after="160"/>
      </w:pPr>
      <w:r>
        <w:rPr>
          <w:rFonts w:ascii="Calibri" w:cs="Calibri" w:eastAsia="Calibri" w:hAnsi="Calibri"/>
          <w:b/>
          <w:bCs/>
          <w:color w:val="2D5BE3"/>
          <w:sz w:val="28"/>
          <w:szCs w:val="28"/>
        </w:rPr>
        <w:t xml:space="preserve">8.3 Key UI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State</w:t>
            </w:r>
          </w:p>
        </w:tc>
        <w:tc>
          <w:tcPr>
            <w:tcW w:type="dxa" w:w="68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UI Behaviour</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Idle</w:t>
            </w:r>
          </w:p>
        </w:tc>
        <w:tc>
          <w:tcPr>
            <w:tcW w:type="dxa" w:w="6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Mic button glows softly. Persona icon visible. Placeholder text in user's language: "Ask me about government services..." (English default, adapts to detected language).</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Recording</w:t>
            </w:r>
          </w:p>
        </w:tc>
        <w:tc>
          <w:tcPr>
            <w:tcW w:type="dxa" w:w="68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Mic button pulses red. Waveform animation active. Live transcript preview below input bar.</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Processing</w:t>
            </w:r>
          </w:p>
        </w:tc>
        <w:tc>
          <w:tcPr>
            <w:tcW w:type="dxa" w:w="6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Animated typing indicator in chat. Step-by-step progress: Transcribing → Detecting Language → Retrieving Documents → Generating Answer → Translating → Simplifying → Validating Accuracy</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Response Ready</w:t>
            </w:r>
          </w:p>
        </w:tc>
        <w:tc>
          <w:tcPr>
            <w:tcW w:type="dxa" w:w="68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Translated + simplified answer in user's language in chat bubble. Language tag shows: e.g., "Bahasa Indonesia". Semantic score bar animates in. Source panel slides open showing original BM source. TTS auto-plays if Warga Emas mode.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Low Confidence</w:t>
            </w:r>
          </w:p>
        </w:tc>
        <w:tc>
          <w:tcPr>
            <w:tcW w:type="dxa" w:w="6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Answer shown with amber warning in user's language: "I'm not fully certain. Please verify with the relevant government officer." BM source still shown.</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LLM Fallback Active</w:t>
            </w:r>
          </w:p>
        </w:tc>
        <w:tc>
          <w:tcPr>
            <w:tcW w:type="dxa" w:w="68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Subtle banner: "Using backup AI model." Answer quality maintained.</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Translation Fallback Active</w:t>
            </w:r>
          </w:p>
        </w:tc>
        <w:tc>
          <w:tcPr>
            <w:tcW w:type="dxa" w:w="6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Subtle banner: "Using offline translation model for your dialect." Answer still delivered.</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9. Data Strategy</w:t>
      </w:r>
    </w:p>
    <w:p>
      <w:pPr>
        <w:pStyle w:val="Heading2"/>
        <w:spacing w:before="320" w:after="160"/>
      </w:pPr>
      <w:r>
        <w:rPr>
          <w:rFonts w:ascii="Calibri" w:cs="Calibri" w:eastAsia="Calibri" w:hAnsi="Calibri"/>
          <w:b/>
          <w:bCs/>
          <w:color w:val="2D5BE3"/>
          <w:sz w:val="28"/>
          <w:szCs w:val="28"/>
        </w:rPr>
        <w:t xml:space="preserve">9.1 Document Corpus (Seed Dataset)</w:t>
      </w:r>
    </w:p>
    <w:p>
      <w:pPr>
        <w:spacing w:before="80" w:after="100"/>
      </w:pPr>
      <w:r>
        <w:rPr>
          <w:rFonts w:ascii="Calibri" w:cs="Calibri" w:eastAsia="Calibri" w:hAnsi="Calibri"/>
          <w:color w:val="1E293B"/>
          <w:sz w:val="22"/>
          <w:szCs w:val="22"/>
        </w:rPr>
        <w:t xml:space="preserve">The initial MVP corpus will include the following Malaysian government documents, selected for their direct relevance to the three target personas: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Bantuan Sara Hidup (BSH/BRIM) — eligibility criteria and application guide (JKM)</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Kumpulan Wang Simpanan Pekerja (KWSP) — withdrawal eligibility and procedures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Work Permit Renewal — Foreign Worker Division, JTK (Jabatan Tenaga Kerja)</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MySejahtera Healthcare Registration — Ministry of Health</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MyKad Renewal Process — Jabatan Pendaftaran Negara (JPN)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Zakat &amp; Fitrah — MAIS guidelines for eligible recipients</w:t>
      </w:r>
    </w:p>
    <w:p>
      <w:pPr>
        <w:spacing w:before="100" w:after="0"/>
      </w:pPr>
      <w:r>
        <w:t xml:space="preserve"/>
      </w:r>
    </w:p>
    <w:p>
      <w:pPr>
        <w:pStyle w:val="Heading2"/>
        <w:spacing w:before="320" w:after="160"/>
      </w:pPr>
      <w:r>
        <w:rPr>
          <w:rFonts w:ascii="Calibri" w:cs="Calibri" w:eastAsia="Calibri" w:hAnsi="Calibri"/>
          <w:b/>
          <w:bCs/>
          <w:color w:val="2D5BE3"/>
          <w:sz w:val="28"/>
          <w:szCs w:val="28"/>
        </w:rPr>
        <w:t xml:space="preserve">9.2 Low-Resource Language Strategy</w:t>
      </w:r>
    </w:p>
    <w:p>
      <w:pPr>
        <w:spacing w:before="80" w:after="100"/>
      </w:pPr>
      <w:r>
        <w:rPr>
          <w:rFonts w:ascii="Calibri" w:cs="Calibri" w:eastAsia="Calibri" w:hAnsi="Calibri"/>
          <w:color w:val="1E293B"/>
          <w:sz w:val="22"/>
          <w:szCs w:val="22"/>
        </w:rPr>
        <w:t xml:space="preserve">For dialects with no significant online corpus (Iban, Kadazan-Dusun, Bajau), the MVP takes a principled approach:</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Document the gap explicitly — the system acknowledges in its UI if a dialect has limited support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Use gemini-embedding-001's cross-lingual transfer capability to approximate understanding via related high-resource language embeddings</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Post-MVP: LLM-generated synthetic dialect training examples, validated by native speakers, will be used to fine-tune the dialect classifier</w:t>
      </w:r>
    </w:p>
    <w:p>
      <w:pPr>
        <w:spacing w:before="100" w:after="0"/>
      </w:pPr>
      <w:r>
        <w:t xml:space="preserve"/>
      </w:r>
    </w:p>
    <w:p>
      <w:pPr>
        <w:pStyle w:val="Heading2"/>
        <w:spacing w:before="320" w:after="160"/>
      </w:pPr>
      <w:r>
        <w:rPr>
          <w:rFonts w:ascii="Calibri" w:cs="Calibri" w:eastAsia="Calibri" w:hAnsi="Calibri"/>
          <w:b/>
          <w:bCs/>
          <w:color w:val="2D5BE3"/>
          <w:sz w:val="28"/>
          <w:szCs w:val="28"/>
        </w:rPr>
        <w:t xml:space="preserve">9.3 Data Privacy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No user queries are stored permanently — conversation context held in memory per session only</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No personally identifiable information (PII) is collected or logged</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Audio recordings deleted immediately after STT transcription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All government documents used are publicly available PDF documents — no proprietary data</w:t>
      </w:r>
    </w:p>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10. Finalised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33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Frontend</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14 (App Router)</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Built via v0 + exported to Cursor</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Backend</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FastAPI (Python 3.11)</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Async, low-latency, REST API</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Database</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(PostgreSQL)</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Metadata, conversation context</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Vector Store</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Supabase pgvector</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Cosine similarity retrieval</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File Storage</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Storage</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Government PDF document store</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RAG Framework</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LlamaIndex</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Indexing, retrieval, context pipeline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Embedding Model</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gemini-embedding-001 (Vertex AI)</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 MTEB Multilingual; cross-lingual retrieval</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Primary LLM</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SEA-LION v4 (AI Singapore API)</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Generates BM answer from retrieved context</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Fallback LLM</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Gemini 3 Flash (gemini-3-flash-preview)</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Activates on SEA-LION API failure</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Translation (Primary)</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Google Cloud Translation TLLM (Advanced v3)</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BM → user language; all high-resource SEA pairs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Translation (Fallback)</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NLLB-200-distilled-600M</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Low-resource only: Iban, Kadazan, Bajau</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Dialect Detection</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lingua-py + fastText + LangDetect</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Layered fallback detection + translation routing</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PDF Parsing</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pymupdf</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Fast, accurate mixed BM/EN gov doc parsing</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Simplification Scoring</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sentence-transformers (MiniLM-L12-v2)</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Cross-lingual semantic preservation validation</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Speech-to-Text</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STT v2</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Dialect-aware, code-switching support</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Text-to-Speech</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Google Cloud TTS Neural2</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Natural voice output in user's language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NLP Tools</w:t>
            </w:r>
          </w:p>
        </w:tc>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spaCy + textstat + NLTK</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Jargon detection, readability scoring in target language</w:t>
            </w:r>
          </w:p>
        </w:tc>
      </w:tr>
      <w:tr>
        <w:tc>
          <w:tcPr>
            <w:tcW w:type="dxa" w:w="2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Authentication</w:t>
            </w:r>
          </w:p>
        </w:tc>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None (MVP)</w:t>
            </w:r>
          </w:p>
        </w:tc>
        <w:tc>
          <w:tcPr>
            <w:tcW w:type="dxa" w:w="33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Not required for hackathon scope</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11. Implementation Plan</w:t>
      </w:r>
    </w:p>
    <w:p>
      <w:pPr>
        <w:pStyle w:val="Heading2"/>
        <w:spacing w:before="320" w:after="160"/>
      </w:pPr>
      <w:r>
        <w:rPr>
          <w:rFonts w:ascii="Calibri" w:cs="Calibri" w:eastAsia="Calibri" w:hAnsi="Calibri"/>
          <w:b/>
          <w:bCs/>
          <w:color w:val="2D5BE3"/>
          <w:sz w:val="28"/>
          <w:szCs w:val="28"/>
        </w:rPr>
        <w:t xml:space="preserve">11.1 Build Priority Order</w:t>
      </w:r>
    </w:p>
    <w:p>
      <w:pPr>
        <w:spacing w:before="80" w:after="100"/>
      </w:pPr>
      <w:r>
        <w:rPr>
          <w:rFonts w:ascii="Calibri" w:cs="Calibri" w:eastAsia="Calibri" w:hAnsi="Calibri"/>
          <w:color w:val="1E293B"/>
          <w:sz w:val="22"/>
          <w:szCs w:val="22"/>
        </w:rPr>
        <w:t xml:space="preserve">The following sequence is recommended to ensure a working, demonstrable MVP with maximum impact within hackathon time constraints: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60"/>
        <w:gridCol w:w="3000"/>
      </w:tblGrid>
      <w:tr>
        <w:trPr>
          <w:tblHeader/>
        </w:trPr>
        <w:tc>
          <w:tcPr>
            <w:tcW w:type="dxa" w:w="9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30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Task</w:t>
            </w:r>
          </w:p>
        </w:tc>
        <w:tc>
          <w:tcPr>
            <w:tcW w:type="dxa" w:w="24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c>
          <w:tcPr>
            <w:tcW w:type="dxa" w:w="30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setup + pymupdf PDF ingestion pipeline</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Critical</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Indexed government doc corpus</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2</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LlamaIndex RAG pipeline with gemini-embedding-001</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Critical</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Working retrieval on test queries</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3</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FastAPI backend with /api/query endpoint</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Critical</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End-to-end query → answer flow</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4</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SEA-LION v4 integration + Gemini 3 Flash fallback</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Critical</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LLM BM answer generation working</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Translation TLLM + /api/translate endpoint</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Critical</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BM → English/ID/TH/TL/VN translation working</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6</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NLLB-200 fallback translation for low-resource dialects</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Translation routing logic complete</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7</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STT v2 + /api/transcribe endpoint</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Voice input functional</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8</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Google Cloud TTS + /api/synthesise endpoint</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Voice output in user language functional</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9</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frontend (via v0) — chat UI + source panel</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Full user-facing interface</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10</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Simplification engine (spaCy + LLM) on translated text</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Grade 5 output in target language validated</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11</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Semantic Preservation Score (cross-lingual) + UI bar</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Trust/accuracy bar visible</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12</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Dialect detection pipeline (lingua-py + fastText)</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Language routing + translation tier selection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13</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Persona mode selector (Warga Emas, Migran, Rural)</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Adaptive UI functional</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14</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Visual step-by-step instruction cards (translated)</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Procedural queries enhanced</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15</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Shareable summary card export</w:t>
            </w:r>
          </w:p>
        </w:tc>
        <w:tc>
          <w:tcPr>
            <w:tcW w:type="dxa" w:w="24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Low</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PNG/share output in target language</w:t>
            </w:r>
          </w:p>
        </w:tc>
      </w:tr>
      <w:tr>
        <w:tc>
          <w:tcPr>
            <w:tcW w:type="dxa" w:w="9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16</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Hijri calendar cultural context layer</w:t>
            </w:r>
          </w:p>
        </w:tc>
        <w:tc>
          <w:tcPr>
            <w:tcW w:type="dxa" w:w="24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Low</w:t>
            </w:r>
          </w:p>
        </w:tc>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Narrow date conversion feature</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12. Demo Script (Judging Presentation)</w:t>
      </w:r>
    </w:p>
    <w:p>
      <w:pPr>
        <w:spacing w:before="80" w:after="100"/>
      </w:pPr>
      <w:r>
        <w:rPr>
          <w:rFonts w:ascii="Calibri" w:cs="Calibri" w:eastAsia="Calibri" w:hAnsi="Calibri"/>
          <w:color w:val="1E293B"/>
          <w:sz w:val="22"/>
          <w:szCs w:val="22"/>
        </w:rPr>
        <w:t xml:space="preserve">The following scripted demo is designed to maximise emotional impact and demonstrate technical depth within a 60-second live demonstration window.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E3" w:sz="1"/>
              <w:left w:val="single" w:color="2D5BE3" w:sz="12"/>
              <w:bottom w:val="single" w:color="2D5BE3" w:sz="1"/>
              <w:right w:val="single" w:color="2D5BE3" w:sz="1"/>
            </w:tcBorders>
            <w:shd w:fill="EEF2FF" w:val="clear"/>
            <w:tcMar>
              <w:top w:type="dxa" w:w="120"/>
              <w:left w:type="dxa" w:w="200"/>
              <w:bottom w:type="dxa" w:w="120"/>
              <w:right w:type="dxa" w:w="200"/>
            </w:tcMar>
          </w:tcPr>
          <w:p>
            <w:pPr>
              <w:spacing w:before="0" w:after="60"/>
            </w:pPr>
            <w:r>
              <w:rPr>
                <w:rFonts w:ascii="Calibri" w:cs="Calibri" w:eastAsia="Calibri" w:hAnsi="Calibri"/>
                <w:b/>
                <w:bCs/>
                <w:color w:val="2D5BE3"/>
                <w:sz w:val="22"/>
                <w:szCs w:val="22"/>
              </w:rPr>
              <w:t xml:space="preserve">Demo Scenario</w:t>
            </w:r>
          </w:p>
          <w:p>
            <w:pPr>
              <w:spacing w:before="0" w:after="0"/>
            </w:pPr>
            <w:r>
              <w:rPr>
                <w:rFonts w:ascii="Calibri" w:cs="Calibri" w:eastAsia="Calibri" w:hAnsi="Calibri"/>
                <w:color w:val="1E293B"/>
                <w:sz w:val="22"/>
                <w:szCs w:val="22"/>
              </w:rPr>
              <w:t xml:space="preserve">"Meet Mak Cik Rohani, 68, from Kelantan. She heard she might qualify for Bantuan Sara Hidup but the JKM government website is written in formal Bahasa Malaysia she cannot understand. Her daughter opens The Inclusive Citizen on a tablet and selects Warga Emas mode."</w:t>
            </w:r>
          </w:p>
        </w:tc>
      </w:tr>
    </w:tbl>
    <w:p>
      <w:pPr>
        <w:spacing w:before="120" w:after="0"/>
      </w:pPr>
      <w:r>
        <w:t xml:space="preserve"/>
      </w:r>
    </w:p>
    <w:p>
      <w:pPr>
        <w:spacing w:before="80" w:after="100"/>
      </w:pPr>
      <w:r>
        <w:rPr>
          <w:rFonts w:ascii="Calibri" w:cs="Calibri" w:eastAsia="Calibri" w:hAnsi="Calibri"/>
          <w:color w:val="1E293B"/>
          <w:sz w:val="22"/>
          <w:szCs w:val="22"/>
        </w:rPr>
        <w:t xml:space="preserve">Step-by-step demo flow:</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Select Warga Emas persona — UI transitions to large font, high contrast, simplified layout</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Tap microphone and speak in Kelantanese dialect: "Ambo nak tahu pasal duit bantuan kerajaan tu, layak dok?" — system transcribes and detects Kelantanese Malay</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Progress bar cycles: Transcribing → Detecting Language (Kelantanese Malay) → Retrieving from JKM BSH document → Generating BM Answer → Translating to BM Plain Language → Simplifying → Validating</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[DEMO MOMENT 1 — Same query, different language] Switch persona to Pekerja Migran, select Indonesian. Ask: "Apakah saya berhak dapat bantuan keuangan pemerintah?" — System retrieves same BM JKM documents, translates answer to Bahasa Indonesia via Google Cloud TLLM, simplifies to Grade 5 Indonesian.</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[DEMO MOMENT 2 — English speaker] Switch to English. Ask: "Am I eligible for BSH government financial aid?" — BM documents retrieved, answer translated to English, Grade 5 English output. Shows "Answer: English | Source: Bahasa Malaysia (official doc)"</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Semantic Preservation Score displays: 94% — validates meaning preserved across BM → English translation+simplification</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Source panel slides open: original BM excerpt from BSH eligibility PDF page 3 alongside English answer — side-by-side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Voice output reads English answer aloud in natural Google Cloud TTS en-MY voice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Visual step-by-step card in English: Step 1 → Prepare IC. Step 2 → Get income statement. Step 3 → Visit JKM office.</w:t>
      </w:r>
    </w:p>
    <w:p>
      <w:pPr>
        <w:pStyle w:val="ListParagraph"/>
        <w:numPr>
          <w:ilvl w:val="0"/>
          <w:numId w:val="3"/>
        </w:numPr>
        <w:spacing w:before="60" w:after="60"/>
      </w:pPr>
      <w:r>
        <w:rPr>
          <w:rFonts w:ascii="Calibri" w:cs="Calibri" w:eastAsia="Calibri" w:hAnsi="Calibri"/>
          <w:b w:val="false"/>
          <w:bCs w:val="false"/>
          <w:color w:val="1E293B"/>
          <w:sz w:val="22"/>
          <w:szCs w:val="22"/>
        </w:rPr>
        <w:t xml:space="preserve">User taps Share → Summary card generated in English with QR code to JKM website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1"/>
              <w:left w:val="single" w:color="00C9A7" w:sz="12"/>
              <w:bottom w:val="single" w:color="00C9A7" w:sz="1"/>
              <w:right w:val="single" w:color="00C9A7" w:sz="1"/>
            </w:tcBorders>
            <w:shd w:fill="E6FBF7" w:val="clear"/>
            <w:tcMar>
              <w:top w:type="dxa" w:w="120"/>
              <w:left w:type="dxa" w:w="200"/>
              <w:bottom w:type="dxa" w:w="120"/>
              <w:right w:type="dxa" w:w="200"/>
            </w:tcMar>
          </w:tcPr>
          <w:p>
            <w:pPr>
              <w:spacing w:before="0" w:after="60"/>
            </w:pPr>
            <w:r>
              <w:rPr>
                <w:rFonts w:ascii="Calibri" w:cs="Calibri" w:eastAsia="Calibri" w:hAnsi="Calibri"/>
                <w:b/>
                <w:bCs/>
                <w:color w:val="00C9A7"/>
                <w:sz w:val="22"/>
                <w:szCs w:val="22"/>
              </w:rPr>
              <w:t xml:space="preserve">Demo Closing Line</w:t>
            </w:r>
          </w:p>
          <w:p>
            <w:pPr>
              <w:spacing w:before="0" w:after="0"/>
            </w:pPr>
            <w:r>
              <w:rPr>
                <w:rFonts w:ascii="Calibri" w:cs="Calibri" w:eastAsia="Calibri" w:hAnsi="Calibri"/>
                <w:color w:val="1E293B"/>
                <w:sz w:val="22"/>
                <w:szCs w:val="22"/>
              </w:rPr>
              <w:t xml:space="preserve">"The same BM government document. Three different users — Kelantanese Malay, Indonesian, English. Three different languages answered. The knowledge base never changes. The language the citizen receives always does. That is The Inclusive Citizen: one system, any language, every citizen."</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18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45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SEA-LION v4 API downtime during demo</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Gemini 3 Flash fallback auto-activates; UI shows subtle "backup model" banner</w:t>
            </w:r>
          </w:p>
        </w:tc>
      </w:tr>
      <w:tr>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Google Cloud TLLM translation quality on complex legal text</w:t>
            </w:r>
          </w:p>
        </w:tc>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4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Semantic Preservation Score validates output; re-attempt if score &lt; 0.90; BM source always shown</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NLLB-200 latency on low-resource dialect translation</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NLLB-200 only activated for truly low-resource dialects; text fallback always available</w:t>
            </w:r>
          </w:p>
        </w:tc>
      </w:tr>
      <w:tr>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Semantic score below threshold — answer blocked</w:t>
            </w:r>
          </w:p>
        </w:tc>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4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Re-attempt with conservative translation+simplification prompt; show disclaimer if still fails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Cloud STT accuracy on strong dialects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Text input fallback always available; dialect adapter models enabled in STT v2 config</w:t>
            </w:r>
          </w:p>
        </w:tc>
      </w:tr>
      <w:tr>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RAG retrieval returns irrelevant chunks</w:t>
            </w:r>
          </w:p>
        </w:tc>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Medium</w:t>
            </w:r>
          </w:p>
        </w:tc>
        <w:tc>
          <w:tcPr>
            <w:tcW w:type="dxa" w:w="4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Confidence score displayed; low confidence triggers explicit uncertainty message in user's language</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LLM generates hallucinated information</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RAG grounding enforces answer from retrieved context; semantic score cross-lingually validates fidelity</w:t>
            </w:r>
          </w:p>
        </w:tc>
      </w:tr>
      <w:tr>
        <w:tc>
          <w:tcPr>
            <w:tcW w:type="dxa" w:w="30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Supabase pgvector query latency</w:t>
            </w:r>
          </w:p>
        </w:tc>
        <w:tc>
          <w:tcPr>
            <w:tcW w:type="dxa" w:w="1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Low</w:t>
            </w:r>
          </w:p>
        </w:tc>
        <w:tc>
          <w:tcPr>
            <w:tcW w:type="dxa" w:w="4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IVFFlat index; top-3 retrieval limit; frequent query caching</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14. Judging Criteria Alignment</w:t>
      </w:r>
    </w:p>
    <w:p>
      <w:pPr>
        <w:spacing w:before="80" w:after="100"/>
      </w:pPr>
      <w:r>
        <w:rPr>
          <w:rFonts w:ascii="Calibri" w:cs="Calibri" w:eastAsia="Calibri" w:hAnsi="Calibri"/>
          <w:color w:val="1E293B"/>
          <w:sz w:val="22"/>
          <w:szCs w:val="22"/>
        </w:rPr>
        <w:t xml:space="preserve">The following maps each core judging dimension (as specified in the V Hack 2026 Preliminary Round rubric) to specific implemented features: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Judging Criterion</w:t>
            </w:r>
          </w:p>
        </w:tc>
        <w:tc>
          <w:tcPr>
            <w:tcW w:type="dxa" w:w="65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How We Address It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Innovation &amp; Creativity</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Tiered translation layer (Google TLLM + NLLB-200), Semantic Preservation Score cross-lingual validation, Visual Step Cards, Dialect fingerprinting, Persona-adaptive UI</w:t>
            </w:r>
          </w:p>
        </w:tc>
      </w:tr>
      <w:tr>
        <w:tc>
          <w:tcPr>
            <w:tcW w:type="dxa" w:w="2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Impact &amp; Social Value</w:t>
            </w:r>
          </w:p>
        </w:tc>
        <w:tc>
          <w:tcPr>
            <w:tcW w:type="dxa" w:w="6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Three vulnerable personas each served in their own language, voice-first for low-literacy users, SDG 10 Target 10.2 directly addressed, any-language access to BM government docs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Technical Feasibility</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Full working RAG + translation pipeline, Google Cloud STT/TTS/TLLM for production-grade services, gemini-embedding-001 for cross-lingual retrieval without pre-translation</w:t>
            </w:r>
          </w:p>
        </w:tc>
      </w:tr>
      <w:tr>
        <w:tc>
          <w:tcPr>
            <w:tcW w:type="dxa" w:w="2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Data Strategy &amp; Engineering</w:t>
            </w:r>
          </w:p>
        </w:tc>
        <w:tc>
          <w:tcPr>
            <w:tcW w:type="dxa" w:w="6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BM-first knowledge base with cross-lingual RAG, tiered translation routing logic, synthetic dialect data strategy, pymupdf ingestion pipeline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System Integration</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End-to-end voice-in to voice-out pipeline across 11 integrated services, dual LLM + dual translation fallback chains, Supabase as unified data layer</w:t>
            </w:r>
          </w:p>
        </w:tc>
      </w:tr>
      <w:tr>
        <w:tc>
          <w:tcPr>
            <w:tcW w:type="dxa" w:w="28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Presentation &amp; Demo</w:t>
            </w:r>
          </w:p>
        </w:tc>
        <w:tc>
          <w:tcPr>
            <w:tcW w:type="dxa" w:w="65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Three-language live demo (Kelantanese/Indonesian/English from same BM source), emotionally resonant persona story, visually striking split-screen source panel</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Appendix A — Environment Variables Reference</w:t>
      </w:r>
    </w:p>
    <w:p>
      <w:pPr>
        <w:spacing w:before="80" w:after="100"/>
      </w:pPr>
      <w:r>
        <w:rPr>
          <w:rFonts w:ascii="Calibri" w:cs="Calibri" w:eastAsia="Calibri" w:hAnsi="Calibri"/>
          <w:color w:val="1E293B"/>
          <w:sz w:val="22"/>
          <w:szCs w:val="22"/>
        </w:rPr>
        <w:t xml:space="preserve">The following environment variables must be configured in both the FastAPI backend (.env) and Next.js frontend (.env.local):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Variable</w:t>
            </w:r>
          </w:p>
        </w:tc>
        <w:tc>
          <w:tcPr>
            <w:tcW w:type="dxa" w:w="220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Service</w:t>
            </w:r>
          </w:p>
        </w:tc>
        <w:tc>
          <w:tcPr>
            <w:tcW w:type="dxa" w:w="3660"/>
            <w:tcBorders>
              <w:top w:val="single" w:color="1A3A8F" w:sz="1"/>
              <w:left w:val="single" w:color="1A3A8F" w:sz="1"/>
              <w:bottom w:val="single" w:color="1A3A8F" w:sz="1"/>
              <w:right w:val="single" w:color="1A3A8F" w:sz="1"/>
            </w:tcBorders>
            <w:shd w:fill="1A3A8F"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GOOGLE_CLOUD_PROJECT</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Vertex AI / GCP</w:t>
            </w:r>
          </w:p>
        </w:tc>
        <w:tc>
          <w:tcPr>
            <w:tcW w:type="dxa" w:w="36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GCP project ID for Vertex AI, Cloud STT/TTS, and Cloud Translation TLLM</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GOOGLE_APPLICATION_CREDENTIALS</w:t>
            </w:r>
          </w:p>
        </w:tc>
        <w:tc>
          <w:tcPr>
            <w:tcW w:type="dxa" w:w="2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Vertex AI / GCP</w:t>
            </w:r>
          </w:p>
        </w:tc>
        <w:tc>
          <w:tcPr>
            <w:tcW w:type="dxa" w:w="36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Path to GCP service account JSON key file</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SEALION_API_KEY</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SEA-LION v4</w:t>
            </w:r>
          </w:p>
        </w:tc>
        <w:tc>
          <w:tcPr>
            <w:tcW w:type="dxa" w:w="36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 key from AI Singapore developer portal</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SEALION_API_BASE_URL</w:t>
            </w:r>
          </w:p>
        </w:tc>
        <w:tc>
          <w:tcPr>
            <w:tcW w:type="dxa" w:w="2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SEA-LION v4</w:t>
            </w:r>
          </w:p>
        </w:tc>
        <w:tc>
          <w:tcPr>
            <w:tcW w:type="dxa" w:w="36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Base endpoint for SEA-LION v4 API calls</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SUPABASE_URL</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w:t>
            </w:r>
          </w:p>
        </w:tc>
        <w:tc>
          <w:tcPr>
            <w:tcW w:type="dxa" w:w="36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Project URL from Supabase dashboard</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SUPABASE_SERVICE_ROLE_KEY</w:t>
            </w:r>
          </w:p>
        </w:tc>
        <w:tc>
          <w:tcPr>
            <w:tcW w:type="dxa" w:w="2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Supabase</w:t>
            </w:r>
          </w:p>
        </w:tc>
        <w:tc>
          <w:tcPr>
            <w:tcW w:type="dxa" w:w="36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Service role key for backend pgvector access</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NEXT_PUBLIC_SUPABASE_URL</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(frontend)</w:t>
            </w:r>
          </w:p>
        </w:tc>
        <w:tc>
          <w:tcPr>
            <w:tcW w:type="dxa" w:w="36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Public Supabase URL for Next.js client</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NEXT_PUBLIC_SUPABASE_ANON_KEY</w:t>
            </w:r>
          </w:p>
        </w:tc>
        <w:tc>
          <w:tcPr>
            <w:tcW w:type="dxa" w:w="2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Supabase (frontend)</w:t>
            </w:r>
          </w:p>
        </w:tc>
        <w:tc>
          <w:tcPr>
            <w:tcW w:type="dxa" w:w="36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Public anon key for Next.js Supabase client</w:t>
            </w:r>
          </w:p>
        </w:tc>
      </w:tr>
      <w:tr>
        <w:tc>
          <w:tcPr>
            <w:tcW w:type="dxa" w:w="3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NEXT_PUBLIC_API_BASE_URL</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FastAPI</w:t>
            </w:r>
          </w:p>
        </w:tc>
        <w:tc>
          <w:tcPr>
            <w:tcW w:type="dxa" w:w="36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Base URL of the FastAPI backend (e.g. http://localhost:8000)</w:t>
            </w:r>
          </w:p>
        </w:tc>
      </w:tr>
      <w:tr>
        <w:tc>
          <w:tcPr>
            <w:tcW w:type="dxa" w:w="35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NLLB_MODEL_PATH</w:t>
            </w:r>
          </w:p>
        </w:tc>
        <w:tc>
          <w:tcPr>
            <w:tcW w:type="dxa" w:w="220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NLLB-200 (fallback)</w:t>
            </w:r>
          </w:p>
        </w:tc>
        <w:tc>
          <w:tcPr>
            <w:tcW w:type="dxa" w:w="3660"/>
            <w:tcBorders>
              <w:top w:val="single" w:color="C7D2FE" w:sz="1"/>
              <w:left w:val="single" w:color="C7D2FE" w:sz="1"/>
              <w:bottom w:val="single" w:color="C7D2FE" w:sz="1"/>
              <w:right w:val="single" w:color="C7D2FE" w:sz="1"/>
            </w:tcBorders>
            <w:shd w:fill="F4F7FF" w:val="clear"/>
            <w:tcMar>
              <w:top w:type="dxa" w:w="80"/>
              <w:left w:type="dxa" w:w="120"/>
              <w:bottom w:type="dxa" w:w="80"/>
              <w:right w:type="dxa" w:w="120"/>
            </w:tcMar>
          </w:tcPr>
          <w:p>
            <w:r>
              <w:rPr>
                <w:rFonts w:ascii="Calibri" w:cs="Calibri" w:eastAsia="Calibri" w:hAnsi="Calibri"/>
                <w:color w:val="1E293B"/>
                <w:sz w:val="20"/>
                <w:szCs w:val="20"/>
              </w:rPr>
              <w:t xml:space="preserve">Local path to downloaded NLLB-200-distilled-600M model weights</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Appendix B — Supabase pgvector Schema</w:t>
      </w:r>
    </w:p>
    <w:p>
      <w:pPr>
        <w:spacing w:before="80" w:after="100"/>
      </w:pPr>
      <w:r>
        <w:rPr>
          <w:rFonts w:ascii="Calibri" w:cs="Calibri" w:eastAsia="Calibri" w:hAnsi="Calibri"/>
          <w:color w:val="1E293B"/>
          <w:sz w:val="22"/>
          <w:szCs w:val="22"/>
        </w:rPr>
        <w:t xml:space="preserve">The following SQL schema should be applied to your Supabase project to enable vector storage and retrieval: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BE3" w:sz="1"/>
              <w:left w:val="single" w:color="2D5BE3" w:sz="12"/>
              <w:bottom w:val="single" w:color="2D5BE3" w:sz="1"/>
              <w:right w:val="single" w:color="2D5BE3" w:sz="1"/>
            </w:tcBorders>
            <w:shd w:fill="EEF2FF" w:val="clear"/>
            <w:tcMar>
              <w:top w:type="dxa" w:w="120"/>
              <w:left w:type="dxa" w:w="200"/>
              <w:bottom w:type="dxa" w:w="120"/>
              <w:right w:type="dxa" w:w="200"/>
            </w:tcMar>
          </w:tcPr>
          <w:p>
            <w:pPr>
              <w:spacing w:before="0" w:after="60"/>
            </w:pPr>
            <w:r>
              <w:rPr>
                <w:rFonts w:ascii="Calibri" w:cs="Calibri" w:eastAsia="Calibri" w:hAnsi="Calibri"/>
                <w:b/>
                <w:bCs/>
                <w:color w:val="2D5BE3"/>
                <w:sz w:val="22"/>
                <w:szCs w:val="22"/>
              </w:rPr>
              <w:t xml:space="preserve">SQL — Enable pgvector extension</w:t>
            </w:r>
          </w:p>
          <w:p>
            <w:pPr>
              <w:spacing w:before="0" w:after="0"/>
            </w:pPr>
            <w:r>
              <w:rPr>
                <w:rFonts w:ascii="Calibri" w:cs="Calibri" w:eastAsia="Calibri" w:hAnsi="Calibri"/>
                <w:color w:val="1E293B"/>
                <w:sz w:val="22"/>
                <w:szCs w:val="22"/>
              </w:rPr>
              <w:t xml:space="preserve">CREATE EXTENSION IF NOT EXISTS vector;
CREATE TABLE document_chunks (
  id UUID PRIMARY KEY DEFAULT gen_random_uuid(),
  doc_name TEXT NOT NULL,
  doc_type TEXT,
  page_number INT,
  chunk_text TEXT NOT NULL,
  embedding VECTOR(768),
  metadata JSONB,
  created_at TIMESTAMPTZ DEFAULT NOW()
);
CREATE INDEX ON document_chunks
  USING ivfflat (embedding vector_cosine_ops)
  WITH (lists = 100);</w:t>
            </w:r>
          </w:p>
        </w:tc>
      </w:tr>
    </w:tbl>
    <w:p>
      <w:pPr>
        <w:spacing w:before="200" w:after="0"/>
      </w:pPr>
      <w:r>
        <w:t xml:space="preserve"/>
      </w:r>
    </w:p>
    <w:p>
      <w:pPr>
        <w:pStyle w:val="Heading1"/>
        <w:pBdr>
          <w:bottom w:val="single" w:color="2D5BE3" w:sz="4" w:space="4"/>
        </w:pBdr>
        <w:spacing w:before="400" w:after="200"/>
      </w:pPr>
      <w:r>
        <w:rPr>
          <w:rFonts w:ascii="Calibri" w:cs="Calibri" w:eastAsia="Calibri" w:hAnsi="Calibri"/>
          <w:b/>
          <w:bCs/>
          <w:color w:val="1A3A8F"/>
          <w:sz w:val="36"/>
          <w:szCs w:val="36"/>
        </w:rPr>
        <w:t xml:space="preserve">Appendix C — Key Python Dependencies</w:t>
      </w:r>
    </w:p>
    <w:p>
      <w:pPr>
        <w:spacing w:before="80" w:after="100"/>
      </w:pPr>
      <w:r>
        <w:rPr>
          <w:rFonts w:ascii="Calibri" w:cs="Calibri" w:eastAsia="Calibri" w:hAnsi="Calibri"/>
          <w:color w:val="1E293B"/>
          <w:sz w:val="22"/>
          <w:szCs w:val="22"/>
        </w:rPr>
        <w:t xml:space="preserve">The following Python packages are required for the FastAPI backend (requirements.txt):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fastapi==0.115.0 — Web framework</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uvicorn==0.30.0 — ASGI server</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llama-index==0.11.0 — RAG pipeline framework</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llama-index-vector-stores-supabase — Supabase pgvector integration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google-cloud-aiplatform — Vertex AI SDK (embeddings, Gemini 3 Flash)</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google-cloud-translate — Google Cloud Translation TLLM (Advanced v3)</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google-cloud-speech — Google Cloud STT v2</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google-cloud-texttospeech — Google Cloud TTS Neural2</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transformers — HuggingFace Transformers (NLLB-200 fallback translation model)</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sentencepiece — Required tokeniser for NLLB-200 model</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torch — PyTorch backend for NLLB-200 inference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pymupdf — PDF parsing and text extraction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lingua-language-detector — Primary dialect detection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fasttext — Secondary dialect classification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langdetect — Fallback language detection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spacy — NLP jargon extraction</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sentence-transformers — Cross-lingual semantic preservation scoring</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textstat — Flesch-Kincaid readability grading in target language</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supabase — Supabase Python client</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python-multipart — Audio file upload handling</w:t>
      </w:r>
    </w:p>
    <w:p>
      <w:pPr>
        <w:pStyle w:val="ListParagraph"/>
        <w:numPr>
          <w:ilvl w:val="0"/>
          <w:numId w:val="2"/>
        </w:numPr>
        <w:spacing w:before="60" w:after="60"/>
      </w:pPr>
      <w:r>
        <w:rPr>
          <w:rFonts w:ascii="Calibri" w:cs="Calibri" w:eastAsia="Calibri" w:hAnsi="Calibri"/>
          <w:b w:val="false"/>
          <w:bCs w:val="false"/>
          <w:color w:val="1E293B"/>
          <w:sz w:val="22"/>
          <w:szCs w:val="22"/>
        </w:rPr>
        <w:t xml:space="preserve">pydantic==2.0 — Data validation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2"/>
      </w:pBd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W w:type="dxa" w:w="50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6"/>
              <w:szCs w:val="16"/>
            </w:rPr>
            <w:t xml:space="preserve">Confidential — V Hack 2026 Submission</w:t>
          </w:r>
        </w:p>
      </w:tc>
      <w:tc>
        <w:tcPr>
          <w:tcW w:type="dxa" w:w="4720"/>
          <w:tcBorders>
            <w:top w:val="none" w:color="FFFFFF" w:sz="0"/>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2D5BE3"/>
              <w:sz w:val="18"/>
              <w:szCs w:val="18"/>
            </w:rPr>
            <w:t xml:space="preserve">The Inclusive Citizen — Multilingual AI for Public Services</w:t>
          </w:r>
        </w:p>
      </w:tc>
      <w:tc>
        <w:tcPr>
          <w:tcW w:type="dxa" w:w="27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Calibri" w:cs="Calibri" w:eastAsia="Calibri" w:hAnsi="Calibri"/>
              <w:color w:val="64748B"/>
              <w:sz w:val="18"/>
              <w:szCs w:val="18"/>
            </w:rPr>
            <w:t xml:space="preserve">PRD v2.0  |  V Hack 2026</w:t>
          </w:r>
        </w:p>
      </w:tc>
    </w:tr>
  </w:tbl>
  <w:p>
    <w:pPr>
      <w:pBdr>
        <w:bottom w:val="single" w:color="2D5BE3"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A3A8F"/>
      <w:sz w:val="36"/>
      <w:szCs w:val="36"/>
    </w:rPr>
  </w:style>
  <w:style w:type="paragraph" w:styleId="Heading2">
    <w:name w:val="Heading 2"/>
    <w:basedOn w:val="Normal"/>
    <w:next w:val="Normal"/>
    <w:qFormat/>
    <w:pPr>
      <w:spacing w:before="320" w:after="160"/>
      <w:outlineLvl w:val="1"/>
    </w:pPr>
    <w:rPr>
      <w:rFonts w:ascii="Calibri" w:cs="Calibri" w:eastAsia="Calibri" w:hAnsi="Calibri"/>
      <w:b/>
      <w:bCs/>
      <w:color w:val="2D5BE3"/>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A3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2026-03-12T08:45:12.875Z</dcterms:created>
  <dcterms:modified xsi:type="dcterms:W3CDTF">2026-03-12T08:45:12.876Z</dcterms:modified>
</cp:coreProperties>
</file>

<file path=docProps/custom.xml><?xml version="1.0" encoding="utf-8"?>
<Properties xmlns="http://schemas.openxmlformats.org/officeDocument/2006/custom-properties" xmlns:vt="http://schemas.openxmlformats.org/officeDocument/2006/docPropsVTypes"/>
</file>