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05FB3A1E">
      <w:pPr>
        <w:pStyle w:val="000013"/>
        <w:jc w:val="left"/>
        <w:rPr>
          <w:rFonts w:ascii="宋体" w:hAnsi="宋体" w:eastAsia="宋体" w:cs="宋体"/>
          <w:sz w:val="24"/>
        </w:rPr>
      </w:pPr>
      <w:r>
        <w:rPr>
          <w:rFonts w:hint="eastAsia" w:ascii="宋体" w:hAnsi="宋体" w:eastAsia="宋体" w:cs="宋体"/>
          <w:sz w:val="24"/>
        </w:rPr>
        <w:t>六级翻译精练</w:t>
      </w:r>
    </w:p>
    <w:p w14:paraId="4C64F691">
      <w:pPr>
        <w:pStyle w:val="000002"/>
        <w:pBdr/>
        <w:ind/>
        <w:rPr>
          <w:rFonts w:ascii="宋体" w:hAnsi="宋体" w:eastAsia="宋体" w:cs="宋体"/>
          <w:b w:val="1"/>
          <w:i w:val="0"/>
          <w:strike w:val="0"/>
          <w:color w:val="FFFFFF"/>
          <w:spacing w:val="0"/>
          <w:sz w:val="24"/>
          <w:u w:val="none"/>
          <w:shd w:val="clear" w:color="auto" w:fill="auto"/>
        </w:rPr>
      </w:pPr>
      <w:r>
        <w:rPr>
          <w:rFonts w:hint="eastAsia" w:ascii="宋体" w:hAnsi="宋体" w:eastAsia="宋体" w:cs="宋体"/>
          <w:sz w:val="24"/>
        </w:rPr>
        <w:t>真题：</w:t>
      </w:r>
    </w:p>
    <w:p w14:paraId="5C59DE21">
      <w:pPr>
        <w:pStyle w:val="000004"/>
        <w:pBdr/>
        <w:ind/>
        <w:rPr>
          <w:rFonts w:ascii="宋体" w:hAnsi="宋体" w:eastAsia="宋体" w:cs="宋体"/>
          <w:sz w:val="24"/>
        </w:rPr>
      </w:pPr>
      <w:r>
        <w:rPr>
          <w:rFonts w:hint="eastAsia" w:ascii="宋体" w:hAnsi="宋体" w:eastAsia="宋体" w:cs="宋体"/>
          <w:sz w:val="24"/>
        </w:rPr>
        <w:t>2025年12月</w:t>
      </w:r>
    </w:p>
    <w:p w14:paraId="36F5D964">
      <w:pPr>
        <w:pStyle w:val="000007"/>
        <w:rPr>
          <w:rFonts w:ascii="宋体" w:hAnsi="宋体" w:eastAsia="宋体" w:cs="宋体"/>
          <w:sz w:val="24"/>
        </w:rPr>
      </w:pPr>
      <w:r>
        <w:rPr>
          <w:rFonts w:ascii="宋体" w:hAnsi="宋体" w:eastAsia="宋体" w:cs="宋体"/>
          <w:sz w:val="24"/>
        </w:rPr>
        <w:t>1.</w:t>
      </w:r>
    </w:p>
    <w:p w14:paraId="66CB20F7">
      <w:pPr>
        <w:pStyle w:val="000001"/>
        <w:pBdr/>
        <w:ind/>
        <w:rPr>
          <w:rFonts w:ascii="宋体" w:hAnsi="宋体" w:eastAsia="宋体" w:cs="宋体"/>
          <w:sz w:val="24"/>
        </w:rPr>
      </w:pPr>
      <w:r>
        <w:rPr>
          <w:rFonts w:hint="eastAsia" w:ascii="宋体" w:hAnsi="宋体" w:eastAsia="宋体" w:cs="宋体"/>
          <w:sz w:val="24"/>
        </w:rPr>
        <w:t>节俭 (frugality) 是中华民族的传统美德。</w:t>
      </w:r>
    </w:p>
    <w:p w14:paraId="216DC17C">
      <w:pPr>
        <w:pStyle w:val="000001"/>
        <w:pBdr/>
        <w:ind/>
        <w:rPr>
          <w:rFonts w:ascii="宋体" w:hAnsi="宋体" w:eastAsia="宋体" w:cs="宋体"/>
          <w:i w:val="0"/>
          <w:strike w:val="0"/>
          <w:color w:val="000000"/>
          <w:sz w:val="24"/>
          <w:u w:val="none"/>
        </w:rPr>
      </w:pPr>
      <w:r>
        <w:rPr>
          <w:rFonts w:ascii="宋体" w:hAnsi="宋体" w:eastAsia="宋体" w:cs="宋体"/>
          <w:i w:val="0"/>
          <w:strike w:val="0"/>
          <w:color w:val="000000"/>
          <w:sz w:val="24"/>
          <w:u w:val="none"/>
        </w:rPr>
        <w:t>Frugality is a traditional virtue of the Chinese nation.</w:t>
      </w:r>
    </w:p>
    <w:p w14:paraId="3F25E56B">
      <w:pPr>
        <w:pStyle w:val="000001"/>
        <w:pBdr/>
        <w:ind/>
        <w:rPr>
          <w:rFonts w:ascii="宋体" w:hAnsi="宋体" w:eastAsia="宋体" w:cs="宋体"/>
          <w:i w:val="0"/>
          <w:strike w:val="0"/>
          <w:color w:val="000000"/>
          <w:sz w:val="24"/>
          <w:u w:val="none"/>
        </w:rPr>
      </w:pPr>
    </w:p>
    <w:p w14:paraId="1D326CA2">
      <w:pPr>
        <w:pStyle w:val="000001"/>
        <w:pBdr/>
        <w:ind/>
        <w:rPr>
          <w:rFonts w:ascii="宋体" w:hAnsi="宋体" w:eastAsia="宋体" w:cs="宋体"/>
          <w:sz w:val="24"/>
        </w:rPr>
      </w:pPr>
      <w:r>
        <w:rPr>
          <w:rFonts w:hint="eastAsia" w:ascii="宋体" w:hAnsi="宋体" w:eastAsia="宋体" w:cs="宋体"/>
          <w:sz w:val="24"/>
        </w:rPr>
        <w:t>在中国古代，生产力低下，先人们深知劳动成果来之不易，因而秉持节俭的理念。</w:t>
      </w:r>
    </w:p>
    <w:p w14:paraId="7112A2E2">
      <w:pPr>
        <w:pStyle w:val="000001"/>
        <w:pBdr/>
        <w:ind/>
        <w:rPr>
          <w:rFonts w:ascii="宋体" w:hAnsi="宋体" w:eastAsia="宋体" w:cs="宋体"/>
          <w:i w:val="0"/>
          <w:strike w:val="0"/>
          <w:color w:val="000000"/>
          <w:sz w:val="24"/>
          <w:u w:val="none"/>
        </w:rPr>
      </w:pPr>
      <w:r>
        <w:rPr>
          <w:rFonts w:ascii="宋体" w:hAnsi="宋体" w:eastAsia="宋体" w:cs="宋体"/>
          <w:i w:val="0"/>
          <w:strike w:val="0"/>
          <w:color w:val="000000"/>
          <w:sz w:val="24"/>
          <w:u w:val="none"/>
        </w:rPr>
        <w:t>In ancient China, when productivity was extremely low, our ancestors, deeply aware that the fruits of labor were hard-earned, firmly upheld the principle of frugality.</w:t>
      </w:r>
    </w:p>
    <w:p w14:paraId="10C95CE1">
      <w:pPr>
        <w:pStyle w:val="000001"/>
        <w:pBdr/>
        <w:ind/>
        <w:rPr>
          <w:rFonts w:ascii="宋体" w:hAnsi="宋体" w:eastAsia="宋体" w:cs="宋体"/>
          <w:i w:val="0"/>
          <w:strike w:val="0"/>
          <w:color w:val="000000"/>
          <w:sz w:val="24"/>
          <w:u w:val="none"/>
        </w:rPr>
      </w:pPr>
    </w:p>
    <w:p w14:paraId="5849C1FA">
      <w:pPr>
        <w:pStyle w:val="000001"/>
        <w:pBdr/>
        <w:ind/>
        <w:rPr>
          <w:rFonts w:ascii="宋体" w:hAnsi="宋体" w:eastAsia="宋体" w:cs="宋体"/>
          <w:sz w:val="24"/>
        </w:rPr>
      </w:pPr>
      <w:r>
        <w:rPr>
          <w:rFonts w:hint="eastAsia" w:ascii="宋体" w:hAnsi="宋体" w:eastAsia="宋体" w:cs="宋体"/>
          <w:sz w:val="24"/>
        </w:rPr>
        <w:t>到了物质极大丰富的今天，中国人民依然坚持节俭的生活方式，体现了理性消费的生活理念和对劳动的尊重。</w:t>
      </w:r>
    </w:p>
    <w:p w14:paraId="3C497F38">
      <w:pPr>
        <w:pStyle w:val="000001"/>
        <w:pBdr/>
        <w:ind/>
        <w:rPr>
          <w:rFonts w:ascii="宋体" w:hAnsi="宋体" w:eastAsia="宋体" w:cs="宋体"/>
          <w:i w:val="0"/>
          <w:strike w:val="0"/>
          <w:color w:val="000000"/>
          <w:sz w:val="24"/>
          <w:u w:val="none"/>
        </w:rPr>
      </w:pPr>
      <w:r>
        <w:rPr>
          <w:rFonts w:ascii="宋体" w:hAnsi="宋体" w:eastAsia="宋体" w:cs="宋体"/>
          <w:i w:val="0"/>
          <w:strike w:val="0"/>
          <w:color w:val="000000"/>
          <w:sz w:val="24"/>
          <w:u w:val="none"/>
        </w:rPr>
        <w:t xml:space="preserve">Today, in an era of material abundance, the Chinese people still maintain a frugal lifestyle, which reflects a philosophy of rational consumption and a deep respect for labor. </w:t>
      </w:r>
    </w:p>
    <w:p w14:paraId="5A7260C9">
      <w:pPr>
        <w:pStyle w:val="000001"/>
        <w:pBdr/>
        <w:ind/>
        <w:rPr>
          <w:rFonts w:ascii="宋体" w:hAnsi="宋体" w:eastAsia="宋体" w:cs="宋体"/>
          <w:i w:val="0"/>
          <w:strike w:val="0"/>
          <w:color w:val="000000"/>
          <w:sz w:val="24"/>
          <w:u w:val="none"/>
        </w:rPr>
      </w:pPr>
    </w:p>
    <w:p w14:paraId="24FEB82E">
      <w:pPr>
        <w:pStyle w:val="000001"/>
        <w:pBdr/>
        <w:ind/>
        <w:rPr>
          <w:rFonts w:ascii="宋体" w:hAnsi="宋体" w:eastAsia="宋体" w:cs="宋体"/>
          <w:sz w:val="24"/>
        </w:rPr>
      </w:pPr>
      <w:r>
        <w:rPr>
          <w:rFonts w:hint="eastAsia" w:ascii="宋体" w:hAnsi="宋体" w:eastAsia="宋体" w:cs="宋体"/>
          <w:sz w:val="24"/>
        </w:rPr>
        <w:t>近年来，中国政府持续加强节约型社会的建设，倡导“光盘行动”，减少食物浪费，提倡简约低碳的生活方式，推进资源循环利用，反对过度消费。</w:t>
      </w:r>
    </w:p>
    <w:p w14:paraId="77E5394A">
      <w:pPr>
        <w:snapToGrid w:val="1"/>
        <w:spacing w:line="240"/>
        <w:ind/>
        <w:rPr>
          <w:rFonts w:ascii="宋体" w:hAnsi="宋体" w:eastAsia="宋体" w:cs="宋体"/>
          <w:sz w:val="24"/>
        </w:rPr>
      </w:pPr>
      <w:r>
        <w:rPr>
          <w:rFonts w:ascii="宋体" w:hAnsi="宋体" w:eastAsia="宋体" w:cs="宋体"/>
          <w:i w:val="0"/>
          <w:strike w:val="0"/>
          <w:color w:val="000000"/>
          <w:sz w:val="24"/>
          <w:u w:val="none"/>
        </w:rPr>
        <w:t>In recent years, the Chinese government has continued to step up efforts to build a conservation-minded society, promoting the "Clean Plate" campaign, reducing food waste, advocating a simple and low-carbon lifestyle, promoting resource recycling, and opposing overconsumption.</w:t>
      </w:r>
    </w:p>
    <w:p w14:paraId="11DCD5B9">
      <w:pPr>
        <w:pStyle w:val="000001"/>
        <w:pBdr/>
        <w:ind/>
        <w:rPr>
          <w:rFonts w:ascii="宋体" w:hAnsi="宋体" w:eastAsia="宋体" w:cs="宋体"/>
          <w:i w:val="0"/>
          <w:strike w:val="0"/>
          <w:color w:val="000000"/>
          <w:sz w:val="24"/>
          <w:u w:val="none"/>
        </w:rPr>
      </w:pPr>
    </w:p>
    <w:p w14:paraId="279206B1">
      <w:pPr>
        <w:pStyle w:val="000001"/>
        <w:pBdr/>
        <w:ind/>
        <w:rPr>
          <w:rFonts w:ascii="宋体" w:hAnsi="宋体" w:eastAsia="宋体" w:cs="宋体"/>
          <w:sz w:val="24"/>
        </w:rPr>
      </w:pPr>
      <w:r>
        <w:rPr>
          <w:rFonts w:hint="eastAsia" w:ascii="宋体" w:hAnsi="宋体" w:eastAsia="宋体" w:cs="宋体"/>
          <w:sz w:val="24"/>
        </w:rPr>
        <w:t>节约型社会的建设有力地推动了中国经济的高质量发展。</w:t>
      </w:r>
    </w:p>
    <w:p w14:paraId="6438F4DD">
      <w:pPr>
        <w:pStyle w:val="000001"/>
        <w:pBdr/>
        <w:ind/>
        <w:rPr>
          <w:rFonts w:ascii="宋体" w:hAnsi="宋体" w:eastAsia="宋体" w:cs="宋体"/>
          <w:i w:val="0"/>
          <w:strike w:val="0"/>
          <w:color w:val="000000"/>
          <w:sz w:val="24"/>
          <w:u w:val="none"/>
        </w:rPr>
      </w:pPr>
      <w:r>
        <w:rPr>
          <w:rFonts w:ascii="宋体" w:hAnsi="宋体" w:eastAsia="宋体" w:cs="宋体"/>
          <w:i w:val="0"/>
          <w:strike w:val="0"/>
          <w:color w:val="000000"/>
          <w:sz w:val="24"/>
          <w:u w:val="none"/>
        </w:rPr>
        <w:t>Efforts to build a conservation-minded society have significantly contributed to the high-quality growth of China's economy.</w:t>
      </w:r>
    </w:p>
    <w:p w14:paraId="066E08F1">
      <w:pPr>
        <w:pStyle w:val="000007"/>
        <w:numPr>
          <w:ilvl w:val="0"/>
          <w:numId w:val="1"/>
        </w:numPr>
        <w:pBdr/>
        <w:rPr>
          <w:rFonts w:ascii="宋体" w:hAnsi="宋体" w:eastAsia="宋体" w:cs="宋体"/>
          <w:sz w:val="24"/>
        </w:rPr>
      </w:pPr>
    </w:p>
    <w:p w14:paraId="1ADCE671">
      <w:pPr>
        <w:pBdr/>
        <w:snapToGrid w:val="1"/>
        <w:spacing w:line="240"/>
        <w:ind w:hanging="0"/>
        <w:rPr>
          <w:rFonts w:ascii="宋体" w:hAnsi="宋体" w:eastAsia="宋体" w:cs="宋体"/>
          <w:i w:val="0"/>
          <w:strike w:val="0"/>
          <w:color w:val="auto"/>
          <w:spacing w:val="0"/>
          <w:sz w:val="24"/>
          <w:u w:val="none"/>
          <w:shd w:val="clear" w:color="auto" w:fill="FFFFFF"/>
        </w:rPr>
      </w:pPr>
      <w:r>
        <w:rPr>
          <w:rFonts w:hint="eastAsia" w:ascii="宋体" w:hAnsi="宋体" w:eastAsia="宋体" w:cs="宋体"/>
          <w:i w:val="0"/>
          <w:strike w:val="0"/>
          <w:color w:val="auto"/>
          <w:spacing w:val="0"/>
          <w:sz w:val="24"/>
          <w:u w:val="none"/>
          <w:shd w:val="clear" w:color="auto" w:fill="FFFFFF"/>
        </w:rPr>
        <w:t>中华民族崇尚自强自立的精神，这一精神深植于中国文化之中，是民族生存与发展的重要支撑。</w:t>
      </w:r>
    </w:p>
    <w:p w14:paraId="49B7BDFB">
      <w:pPr>
        <w:pBdr/>
        <w:snapToGrid w:val="1"/>
        <w:spacing w:line="240"/>
        <w:ind w:hanging="0"/>
        <w:rPr>
          <w:rFonts w:ascii="宋体" w:hAnsi="宋体" w:eastAsia="宋体" w:cs="宋体"/>
          <w:i w:val="0"/>
          <w:strike w:val="0"/>
          <w:color w:val="auto"/>
          <w:spacing w:val="0"/>
          <w:sz w:val="24"/>
          <w:u w:val="none"/>
          <w:shd w:val="clear" w:color="auto" w:fill="FFFFFF"/>
        </w:rPr>
      </w:pPr>
      <w:r>
        <w:rPr>
          <w:rFonts w:ascii="宋体" w:hAnsi="宋体" w:eastAsia="宋体" w:cs="宋体"/>
          <w:i w:val="0"/>
          <w:strike w:val="0"/>
          <w:color w:val="000000"/>
          <w:sz w:val="24"/>
          <w:u w:val="none"/>
        </w:rPr>
        <w:t xml:space="preserve">The Chinese nation holds the spirit of self-reliance and independence in high esteem. Deeply rooted in Chinese culture, this spirit serves as a vital foundation for the nation's survival and development. </w:t>
      </w:r>
    </w:p>
    <w:p w14:paraId="6BFF99EB">
      <w:pPr>
        <w:pBdr/>
        <w:snapToGrid w:val="1"/>
        <w:spacing w:line="240"/>
        <w:ind w:hanging="0"/>
        <w:rPr>
          <w:rFonts w:ascii="宋体" w:hAnsi="宋体" w:eastAsia="宋体" w:cs="宋体"/>
          <w:i w:val="0"/>
          <w:strike w:val="0"/>
          <w:color w:val="auto"/>
          <w:spacing w:val="0"/>
          <w:sz w:val="24"/>
          <w:u w:val="none"/>
          <w:shd w:val="clear" w:color="auto" w:fill="FFFFFF"/>
        </w:rPr>
      </w:pPr>
    </w:p>
    <w:p w14:paraId="65ED711E">
      <w:pPr>
        <w:pBdr/>
        <w:snapToGrid w:val="1"/>
        <w:spacing w:line="240"/>
        <w:ind w:hanging="0"/>
        <w:rPr>
          <w:rFonts w:ascii="宋体" w:hAnsi="宋体" w:eastAsia="宋体" w:cs="宋体"/>
          <w:i w:val="0"/>
          <w:strike w:val="0"/>
          <w:color w:val="auto"/>
          <w:spacing w:val="0"/>
          <w:sz w:val="24"/>
          <w:u w:val="none"/>
          <w:shd w:val="clear" w:color="auto" w:fill="FFFFFF"/>
        </w:rPr>
      </w:pPr>
      <w:r>
        <w:rPr>
          <w:rFonts w:hint="eastAsia" w:ascii="宋体" w:hAnsi="宋体" w:eastAsia="宋体" w:cs="宋体"/>
          <w:i w:val="0"/>
          <w:strike w:val="0"/>
          <w:color w:val="auto"/>
          <w:spacing w:val="0"/>
          <w:sz w:val="24"/>
          <w:u w:val="none"/>
          <w:shd w:val="clear" w:color="auto" w:fill="FFFFFF"/>
        </w:rPr>
        <w:t>改革开放以来，中国在自强自立的征程上，持续加大科研投入，在信息技术、人工智能、航天工程等领域不断取得新突破。</w:t>
      </w:r>
    </w:p>
    <w:p w14:paraId="1C1EF9EF">
      <w:pPr>
        <w:pBdr/>
        <w:snapToGrid w:val="1"/>
        <w:spacing w:line="240"/>
        <w:ind w:hanging="0"/>
        <w:rPr>
          <w:rFonts w:ascii="宋体" w:hAnsi="宋体" w:eastAsia="宋体" w:cs="宋体"/>
          <w:i w:val="0"/>
          <w:strike w:val="0"/>
          <w:color w:val="auto"/>
          <w:spacing w:val="0"/>
          <w:sz w:val="24"/>
          <w:u w:val="none"/>
          <w:shd w:val="clear" w:color="auto" w:fill="FFFFFF"/>
        </w:rPr>
      </w:pPr>
      <w:r>
        <w:rPr>
          <w:rFonts w:ascii="宋体" w:hAnsi="宋体" w:eastAsia="宋体" w:cs="宋体"/>
          <w:i w:val="0"/>
          <w:strike w:val="0"/>
          <w:color w:val="000000"/>
          <w:sz w:val="24"/>
          <w:u w:val="none"/>
        </w:rPr>
        <w:t>Since reform and opening-up, China has pursued greater self-reliance and independence by continuously increasing investment in scientific research and achieving new breakthroughs in fields such as information technology, artificial intelligence, and aerospace engineering.</w:t>
      </w:r>
    </w:p>
    <w:p w14:paraId="3DD6E1E0">
      <w:pPr>
        <w:pBdr/>
        <w:snapToGrid w:val="1"/>
        <w:spacing w:line="240"/>
        <w:ind w:hanging="0"/>
        <w:rPr>
          <w:rFonts w:ascii="宋体" w:hAnsi="宋体" w:eastAsia="宋体" w:cs="宋体"/>
          <w:i w:val="0"/>
          <w:strike w:val="0"/>
          <w:color w:val="auto"/>
          <w:spacing w:val="0"/>
          <w:sz w:val="24"/>
          <w:u w:val="none"/>
          <w:shd w:val="clear" w:color="auto" w:fill="FFFFFF"/>
        </w:rPr>
      </w:pPr>
    </w:p>
    <w:p w14:paraId="7BABECB1">
      <w:pPr>
        <w:pBdr/>
        <w:snapToGrid w:val="1"/>
        <w:spacing w:line="240"/>
        <w:ind w:hanging="0"/>
        <w:rPr>
          <w:rFonts w:ascii="宋体" w:hAnsi="宋体" w:eastAsia="宋体" w:cs="宋体"/>
          <w:i w:val="0"/>
          <w:strike w:val="0"/>
          <w:color w:val="auto"/>
          <w:spacing w:val="0"/>
          <w:sz w:val="24"/>
          <w:u w:val="none"/>
          <w:shd w:val="clear" w:color="auto" w:fill="FFFFFF"/>
        </w:rPr>
      </w:pPr>
      <w:r>
        <w:rPr>
          <w:rFonts w:hint="eastAsia" w:ascii="宋体" w:hAnsi="宋体" w:eastAsia="宋体" w:cs="宋体"/>
          <w:i w:val="0"/>
          <w:strike w:val="0"/>
          <w:color w:val="auto"/>
          <w:spacing w:val="0"/>
          <w:sz w:val="24"/>
          <w:u w:val="none"/>
          <w:shd w:val="clear" w:color="auto" w:fill="FFFFFF"/>
        </w:rPr>
        <w:t>5G 网络覆盖全国，远程医疗发展迅速，电子支付的使用全球领先，嫦娥探月工程展现了航天领域引人注目的发展。</w:t>
      </w:r>
    </w:p>
    <w:p w14:paraId="67009BAF">
      <w:pPr>
        <w:pBdr>
          <w:bottom/>
        </w:pBdr>
        <w:snapToGrid w:val="1"/>
        <w:spacing w:line="240"/>
        <w:ind/>
        <w:rPr>
          <w:rFonts w:ascii="宋体" w:hAnsi="宋体" w:eastAsia="宋体" w:cs="宋体"/>
          <w:sz w:val="24"/>
        </w:rPr>
      </w:pPr>
      <w:r>
        <w:rPr>
          <w:rFonts w:ascii="宋体" w:hAnsi="宋体" w:eastAsia="宋体" w:cs="宋体"/>
          <w:i w:val="0"/>
          <w:strike w:val="0"/>
          <w:color w:val="000000"/>
          <w:sz w:val="24"/>
          <w:u w:val="none"/>
        </w:rPr>
        <w:t>5G networks have achieved nationwide coverage, telemedicine has developed rapidly, and China leads the world in the use of electronic payments. The Chang'e lunar exploration program has also demonstrated remarkable progress in the aerospace sector.</w:t>
      </w:r>
    </w:p>
    <w:p w14:paraId="057B701E">
      <w:pPr>
        <w:pBdr/>
        <w:snapToGrid w:val="1"/>
        <w:spacing w:line="240"/>
        <w:ind w:hanging="0"/>
        <w:rPr>
          <w:rFonts w:ascii="宋体" w:hAnsi="宋体" w:eastAsia="宋体" w:cs="宋体"/>
          <w:i w:val="0"/>
          <w:strike w:val="0"/>
          <w:color w:val="auto"/>
          <w:spacing w:val="0"/>
          <w:sz w:val="24"/>
          <w:u w:val="none"/>
          <w:shd w:val="clear" w:color="auto" w:fill="FFFFFF"/>
        </w:rPr>
      </w:pPr>
    </w:p>
    <w:p w14:paraId="754897CE">
      <w:pPr>
        <w:pBdr/>
        <w:snapToGrid w:val="1"/>
        <w:spacing w:line="240"/>
        <w:ind w:hanging="0"/>
        <w:rPr>
          <w:rFonts w:ascii="宋体" w:hAnsi="宋体" w:eastAsia="宋体" w:cs="宋体"/>
          <w:i w:val="0"/>
          <w:strike w:val="0"/>
          <w:color w:val="auto"/>
          <w:spacing w:val="0"/>
          <w:sz w:val="24"/>
          <w:u w:val="none"/>
          <w:shd w:val="clear" w:color="auto" w:fill="FFFFFF"/>
        </w:rPr>
      </w:pPr>
      <w:r>
        <w:rPr>
          <w:rFonts w:hint="eastAsia" w:ascii="宋体" w:hAnsi="宋体" w:eastAsia="宋体" w:cs="宋体"/>
          <w:i w:val="0"/>
          <w:strike w:val="0"/>
          <w:color w:val="auto"/>
          <w:spacing w:val="0"/>
          <w:sz w:val="24"/>
          <w:u w:val="none"/>
          <w:shd w:val="clear" w:color="auto" w:fill="FFFFFF"/>
        </w:rPr>
        <w:t>自强自主精神成为推动国家现代化进程的强大动力，激励着中国人民为实现民族复兴 (rejuvenation) 的中国梦不断奋进。</w:t>
      </w:r>
    </w:p>
    <w:p w14:paraId="39E469E8">
      <w:pPr>
        <w:pBdr/>
        <w:snapToGrid w:val="1"/>
        <w:spacing w:line="240"/>
        <w:ind w:hanging="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The spirit of self-reliance and independence has become a powerful driving force behind China's modernization, inspiring the Chinese people to forge ahead tirelessly toward realizing the Chinese Dream of national rejuvenation.</w:t>
      </w:r>
    </w:p>
    <w:p w14:paraId="5FBD15FA">
      <w:pPr>
        <w:pBdr/>
        <w:snapToGrid w:val="1"/>
        <w:spacing w:line="240"/>
        <w:ind w:hanging="0"/>
        <w:rPr>
          <w:rFonts w:ascii="宋体" w:hAnsi="宋体" w:eastAsia="宋体" w:cs="宋体"/>
          <w:i w:val="0"/>
          <w:strike w:val="0"/>
          <w:color w:val="000000"/>
          <w:spacing w:val="0"/>
          <w:sz w:val="24"/>
          <w:u w:val="none"/>
          <w:shd w:val="clear" w:color="auto" w:fill="FFFFFF"/>
        </w:rPr>
      </w:pPr>
    </w:p>
    <w:p w14:paraId="7C7631EB">
      <w:pPr>
        <w:pStyle w:val="000007"/>
        <w:numPr>
          <w:ilvl w:val="0"/>
          <w:numId w:val="1"/>
        </w:numPr>
        <w:pBdr/>
        <w:rPr>
          <w:rFonts w:ascii="宋体" w:hAnsi="宋体" w:eastAsia="宋体" w:cs="宋体"/>
          <w:sz w:val="24"/>
        </w:rPr>
      </w:pPr>
    </w:p>
    <w:p w14:paraId="26F338FC">
      <w:pPr>
        <w:pBdr/>
        <w:snapToGrid w:val="1"/>
        <w:spacing w:line="240"/>
        <w:ind w:hanging="0"/>
        <w:rPr>
          <w:rFonts w:ascii="宋体" w:hAnsi="宋体" w:eastAsia="宋体" w:cs="宋体"/>
          <w:i w:val="0"/>
          <w:strike w:val="0"/>
          <w:color w:val="auto"/>
          <w:spacing w:val="0"/>
          <w:sz w:val="24"/>
          <w:u w:val="none"/>
          <w:shd w:val="clear" w:color="auto" w:fill="FFFFFF"/>
        </w:rPr>
      </w:pPr>
      <w:r>
        <w:rPr>
          <w:rFonts w:hint="eastAsia" w:ascii="宋体" w:hAnsi="宋体" w:eastAsia="宋体" w:cs="宋体"/>
          <w:i w:val="0"/>
          <w:strike w:val="0"/>
          <w:color w:val="auto"/>
          <w:spacing w:val="0"/>
          <w:sz w:val="24"/>
          <w:u w:val="none"/>
          <w:shd w:val="clear" w:color="auto" w:fill="FFFFFF"/>
        </w:rPr>
        <w:t>尊老是中华民族的传统美德，深深植根于中国人的思想和行为中，是人们普遍遵守的行为规范和社会准则。</w:t>
      </w:r>
    </w:p>
    <w:p w14:paraId="43ED0B1F">
      <w:pPr>
        <w:snapToGrid w:val="1"/>
        <w:spacing w:line="240"/>
        <w:ind/>
        <w:rPr>
          <w:rFonts w:ascii="宋体" w:hAnsi="宋体" w:eastAsia="宋体" w:cs="宋体"/>
          <w:sz w:val="24"/>
        </w:rPr>
      </w:pPr>
      <w:r>
        <w:rPr>
          <w:rFonts w:ascii="宋体" w:hAnsi="宋体" w:eastAsia="宋体" w:cs="宋体"/>
          <w:i w:val="0"/>
          <w:strike w:val="0"/>
          <w:color w:val="000000"/>
          <w:sz w:val="24"/>
          <w:u w:val="none"/>
        </w:rPr>
        <w:t>Respect for the elderly, deeply rooted in the minds and behavior of the Chinese people, is a traditional virtue of the Chinese nation as well as a widely observed code of conduct and social norm.</w:t>
      </w:r>
    </w:p>
    <w:p w14:paraId="61DA22EF">
      <w:pPr>
        <w:pBdr/>
        <w:snapToGrid w:val="1"/>
        <w:spacing w:line="240"/>
        <w:ind w:hanging="0"/>
        <w:rPr>
          <w:rFonts w:ascii="宋体" w:hAnsi="宋体" w:eastAsia="宋体" w:cs="宋体"/>
          <w:i w:val="0"/>
          <w:strike w:val="0"/>
          <w:color w:val="auto"/>
          <w:spacing w:val="0"/>
          <w:sz w:val="24"/>
          <w:u w:val="none"/>
          <w:shd w:val="clear" w:color="auto" w:fill="FFFFFF"/>
        </w:rPr>
      </w:pPr>
    </w:p>
    <w:p w14:paraId="27AC6DC6">
      <w:pPr>
        <w:pBdr/>
        <w:snapToGrid w:val="1"/>
        <w:spacing w:line="240"/>
        <w:ind w:hanging="0"/>
        <w:rPr>
          <w:rFonts w:ascii="宋体" w:hAnsi="宋体" w:eastAsia="宋体" w:cs="宋体"/>
          <w:i w:val="0"/>
          <w:strike w:val="0"/>
          <w:color w:val="auto"/>
          <w:spacing w:val="0"/>
          <w:sz w:val="24"/>
          <w:u w:val="none"/>
          <w:shd w:val="clear" w:color="auto" w:fill="FFFFFF"/>
        </w:rPr>
      </w:pPr>
      <w:r>
        <w:rPr>
          <w:rFonts w:hint="eastAsia" w:ascii="宋体" w:hAnsi="宋体" w:eastAsia="宋体" w:cs="宋体"/>
          <w:i w:val="0"/>
          <w:strike w:val="0"/>
          <w:color w:val="auto"/>
          <w:spacing w:val="0"/>
          <w:sz w:val="24"/>
          <w:u w:val="none"/>
          <w:shd w:val="clear" w:color="auto" w:fill="FFFFFF"/>
        </w:rPr>
        <w:t>在当今的中国，这种美德得到广泛传承。</w:t>
      </w:r>
    </w:p>
    <w:p w14:paraId="56369CCF">
      <w:pPr>
        <w:pBdr/>
        <w:snapToGrid w:val="1"/>
        <w:spacing w:line="240"/>
        <w:ind w:hanging="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In contemporary China, this virtue continues to be widely upheld and passed down.</w:t>
      </w:r>
    </w:p>
    <w:p w14:paraId="687EA8DC">
      <w:pPr>
        <w:pBdr/>
        <w:snapToGrid w:val="1"/>
        <w:spacing w:line="240"/>
        <w:ind w:hanging="0"/>
        <w:rPr>
          <w:rFonts w:ascii="宋体" w:hAnsi="宋体" w:eastAsia="宋体" w:cs="宋体"/>
          <w:i w:val="0"/>
          <w:strike w:val="0"/>
          <w:color w:val="000000"/>
          <w:spacing w:val="0"/>
          <w:sz w:val="24"/>
          <w:u w:val="none"/>
          <w:shd w:val="clear" w:color="auto" w:fill="FFFFFF"/>
        </w:rPr>
      </w:pPr>
    </w:p>
    <w:p w14:paraId="2A48E339">
      <w:pPr>
        <w:pBdr/>
        <w:snapToGrid w:val="1"/>
        <w:spacing w:line="240"/>
        <w:ind w:hanging="0"/>
        <w:rPr>
          <w:rFonts w:ascii="宋体" w:hAnsi="宋体" w:eastAsia="宋体" w:cs="宋体"/>
          <w:i w:val="0"/>
          <w:strike w:val="0"/>
          <w:color w:val="auto"/>
          <w:spacing w:val="0"/>
          <w:sz w:val="24"/>
          <w:u w:val="none"/>
          <w:shd w:val="clear" w:color="auto" w:fill="FFFFFF"/>
        </w:rPr>
      </w:pPr>
      <w:r>
        <w:rPr>
          <w:rFonts w:hint="eastAsia" w:ascii="宋体" w:hAnsi="宋体" w:eastAsia="宋体" w:cs="宋体"/>
          <w:i w:val="0"/>
          <w:strike w:val="0"/>
          <w:color w:val="auto"/>
          <w:spacing w:val="0"/>
          <w:sz w:val="24"/>
          <w:u w:val="none"/>
          <w:shd w:val="clear" w:color="auto" w:fill="FFFFFF"/>
        </w:rPr>
        <w:t>社会各界积极营造敬老助老的社会氛围。</w:t>
      </w:r>
    </w:p>
    <w:p w14:paraId="20E5A1E9">
      <w:pPr>
        <w:pBdr/>
        <w:snapToGrid w:val="1"/>
        <w:spacing w:line="240"/>
        <w:ind w:hanging="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All sectors of society actively foster an atmosphere of respect and support for the elderly.</w:t>
      </w:r>
    </w:p>
    <w:p w14:paraId="42BDC5F8">
      <w:pPr>
        <w:pBdr/>
        <w:snapToGrid w:val="1"/>
        <w:spacing w:line="240"/>
        <w:ind w:hanging="0"/>
        <w:rPr>
          <w:rFonts w:ascii="宋体" w:hAnsi="宋体" w:eastAsia="宋体" w:cs="宋体"/>
          <w:i w:val="0"/>
          <w:strike w:val="0"/>
          <w:color w:val="000000"/>
          <w:sz w:val="24"/>
          <w:u w:val="none"/>
        </w:rPr>
      </w:pPr>
    </w:p>
    <w:p w14:paraId="5EAD2B6A">
      <w:pPr>
        <w:pBdr/>
        <w:snapToGrid w:val="1"/>
        <w:spacing w:line="240"/>
        <w:ind w:hanging="0"/>
        <w:rPr>
          <w:rFonts w:ascii="宋体" w:hAnsi="宋体" w:eastAsia="宋体" w:cs="宋体"/>
          <w:i w:val="0"/>
          <w:strike w:val="0"/>
          <w:color w:val="auto"/>
          <w:spacing w:val="0"/>
          <w:sz w:val="24"/>
          <w:u w:val="none"/>
          <w:shd w:val="clear" w:color="auto" w:fill="FFFFFF"/>
        </w:rPr>
      </w:pPr>
      <w:r>
        <w:rPr>
          <w:rFonts w:hint="eastAsia" w:ascii="宋体" w:hAnsi="宋体" w:eastAsia="宋体" w:cs="宋体"/>
          <w:i w:val="0"/>
          <w:strike w:val="0"/>
          <w:color w:val="auto"/>
          <w:spacing w:val="0"/>
          <w:sz w:val="24"/>
          <w:u w:val="none"/>
          <w:shd w:val="clear" w:color="auto" w:fill="FFFFFF"/>
        </w:rPr>
        <w:t>为老年人提供便利服务已成为社会共识，例如社区专门开设长者食堂，公共场所配置优先座位。</w:t>
      </w:r>
    </w:p>
    <w:p w14:paraId="1380E167">
      <w:pPr>
        <w:pBdr/>
        <w:snapToGrid w:val="1"/>
        <w:spacing w:line="240"/>
        <w:ind w:hanging="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It has become a social consensus to provide convenient services for senior citizens, such as community canteens for seniors and priority seating in public places.</w:t>
      </w:r>
    </w:p>
    <w:p w14:paraId="3558DE64">
      <w:pPr>
        <w:pBdr/>
        <w:snapToGrid w:val="1"/>
        <w:spacing w:line="240"/>
        <w:ind w:hanging="0"/>
        <w:rPr>
          <w:rFonts w:ascii="宋体" w:hAnsi="宋体" w:eastAsia="宋体" w:cs="宋体"/>
          <w:i w:val="0"/>
          <w:strike w:val="0"/>
          <w:color w:val="000000"/>
          <w:spacing w:val="0"/>
          <w:sz w:val="24"/>
          <w:u w:val="none"/>
          <w:shd w:val="clear" w:color="auto" w:fill="FFFFFF"/>
        </w:rPr>
      </w:pPr>
    </w:p>
    <w:p w14:paraId="648727D5">
      <w:pPr>
        <w:pBdr/>
        <w:snapToGrid w:val="1"/>
        <w:spacing w:line="240"/>
        <w:ind w:hanging="0"/>
        <w:rPr>
          <w:rFonts w:ascii="宋体" w:hAnsi="宋体" w:eastAsia="宋体" w:cs="宋体"/>
          <w:i w:val="0"/>
          <w:strike w:val="0"/>
          <w:color w:val="auto"/>
          <w:spacing w:val="0"/>
          <w:sz w:val="24"/>
          <w:u w:val="none"/>
          <w:shd w:val="clear" w:color="auto" w:fill="FFFFFF"/>
        </w:rPr>
      </w:pPr>
      <w:r>
        <w:rPr>
          <w:rFonts w:hint="eastAsia" w:ascii="宋体" w:hAnsi="宋体" w:eastAsia="宋体" w:cs="宋体"/>
          <w:i w:val="0"/>
          <w:strike w:val="0"/>
          <w:color w:val="auto"/>
          <w:spacing w:val="0"/>
          <w:sz w:val="24"/>
          <w:u w:val="none"/>
          <w:shd w:val="clear" w:color="auto" w:fill="FFFFFF"/>
        </w:rPr>
        <w:t>政府还出台了一系列政策，为老年人的权益提供有力保障。</w:t>
      </w:r>
    </w:p>
    <w:p w14:paraId="4EBA8F8F">
      <w:pPr>
        <w:pBdr/>
        <w:snapToGrid w:val="1"/>
        <w:spacing w:line="240"/>
        <w:ind w:hanging="0"/>
        <w:rPr>
          <w:rFonts w:ascii="宋体" w:hAnsi="宋体" w:eastAsia="宋体" w:cs="宋体"/>
          <w:i w:val="0"/>
          <w:strike w:val="0"/>
          <w:color w:val="000000"/>
          <w:sz w:val="24"/>
          <w:u w:val="none"/>
        </w:rPr>
      </w:pPr>
      <w:r>
        <w:rPr>
          <w:rFonts w:ascii="宋体" w:hAnsi="宋体" w:eastAsia="宋体" w:cs="宋体"/>
          <w:i w:val="0"/>
          <w:strike w:val="0"/>
          <w:color w:val="000000"/>
          <w:sz w:val="24"/>
          <w:u w:val="none"/>
        </w:rPr>
        <w:t>The government has also introduced a series of policies to effectively safeguard the rights and interests of the elderly.</w:t>
      </w:r>
    </w:p>
    <w:p w14:paraId="6F64A81F">
      <w:pPr>
        <w:pBdr/>
        <w:snapToGrid w:val="1"/>
        <w:spacing w:line="240"/>
        <w:ind w:hanging="0"/>
        <w:rPr>
          <w:rFonts w:ascii="宋体" w:hAnsi="宋体" w:eastAsia="宋体" w:cs="宋体"/>
          <w:i w:val="0"/>
          <w:strike w:val="0"/>
          <w:color w:val="000000"/>
          <w:spacing w:val="0"/>
          <w:sz w:val="24"/>
          <w:u w:val="none"/>
          <w:shd w:val="clear" w:color="auto" w:fill="FFFFFF"/>
        </w:rPr>
      </w:pPr>
    </w:p>
    <w:p w14:paraId="386681DB">
      <w:pPr>
        <w:pBdr/>
        <w:snapToGrid w:val="1"/>
        <w:spacing w:line="240"/>
        <w:ind w:hanging="0"/>
        <w:rPr>
          <w:rFonts w:ascii="宋体" w:hAnsi="宋体" w:eastAsia="宋体" w:cs="宋体"/>
          <w:i w:val="0"/>
          <w:strike w:val="0"/>
          <w:color w:val="auto"/>
          <w:spacing w:val="0"/>
          <w:sz w:val="24"/>
          <w:u w:val="none"/>
          <w:shd w:val="clear" w:color="auto" w:fill="FFFFFF"/>
        </w:rPr>
      </w:pPr>
      <w:r>
        <w:rPr>
          <w:rFonts w:hint="eastAsia" w:ascii="宋体" w:hAnsi="宋体" w:eastAsia="宋体" w:cs="宋体"/>
          <w:i w:val="0"/>
          <w:strike w:val="0"/>
          <w:color w:val="auto"/>
          <w:spacing w:val="0"/>
          <w:sz w:val="24"/>
          <w:u w:val="none"/>
          <w:shd w:val="clear" w:color="auto" w:fill="FFFFFF"/>
        </w:rPr>
        <w:t>尊老是社会和谐与发展的重要基石，有助于培育良好的社会氛围，推动整个社会文明进步。</w:t>
      </w:r>
    </w:p>
    <w:p w14:paraId="4F16B251">
      <w:pPr>
        <w:pBdr/>
        <w:snapToGrid w:val="1"/>
        <w:spacing w:line="240"/>
        <w:ind/>
        <w:rPr>
          <w:rFonts w:ascii="宋体" w:hAnsi="宋体" w:eastAsia="宋体" w:cs="宋体"/>
          <w:i w:val="0"/>
          <w:strike w:val="0"/>
          <w:color w:val="000000"/>
          <w:sz w:val="24"/>
          <w:u w:val="none"/>
        </w:rPr>
      </w:pPr>
      <w:r>
        <w:rPr>
          <w:rFonts w:ascii="宋体" w:hAnsi="宋体" w:eastAsia="宋体" w:cs="宋体"/>
          <w:i w:val="0"/>
          <w:strike w:val="0"/>
          <w:color w:val="000000"/>
          <w:sz w:val="24"/>
          <w:u w:val="none"/>
        </w:rPr>
        <w:t>Respect for the elderly is a vital cornerstone of social harmony and development, helping foster a positive social atmosphere and promote the progress of society as a whole.</w:t>
      </w:r>
    </w:p>
    <w:p w14:paraId="612E92B6">
      <w:pPr>
        <w:snapToGrid w:val="1"/>
        <w:spacing w:line="240"/>
        <w:ind/>
        <w:rPr>
          <w:rFonts w:ascii="宋体" w:hAnsi="宋体" w:eastAsia="宋体" w:cs="宋体"/>
          <w:i w:val="0"/>
          <w:strike w:val="0"/>
          <w:color w:val="000000"/>
          <w:sz w:val="24"/>
          <w:u w:val="none"/>
        </w:rPr>
      </w:pPr>
    </w:p>
    <w:p w14:paraId="5F6F9AA2">
      <w:pPr>
        <w:pStyle w:val="000004"/>
        <w:ind/>
        <w:rPr>
          <w:rFonts w:ascii="宋体" w:hAnsi="宋体" w:eastAsia="宋体" w:cs="宋体"/>
          <w:b w:val="1"/>
          <w:sz w:val="24"/>
        </w:rPr>
      </w:pPr>
      <w:r>
        <w:rPr>
          <w:rFonts w:hint="eastAsia" w:ascii="宋体" w:hAnsi="宋体" w:eastAsia="宋体" w:cs="宋体"/>
          <w:b w:val="1"/>
          <w:sz w:val="24"/>
        </w:rPr>
        <w:t>2025年6月</w:t>
      </w:r>
    </w:p>
    <w:p w14:paraId="7137CD20">
      <w:pPr>
        <w:pStyle w:val="000007"/>
        <w:numPr>
          <w:ilvl w:val="0"/>
          <w:numId w:val="2"/>
        </w:numPr>
        <w:pBdr/>
        <w:rPr>
          <w:rFonts w:ascii="宋体" w:hAnsi="宋体" w:eastAsia="宋体" w:cs="宋体"/>
          <w:sz w:val="24"/>
        </w:rPr>
      </w:pPr>
    </w:p>
    <w:p w14:paraId="0758E2F7">
      <w:pPr>
        <w:snapToGrid w:val="1"/>
        <w:spacing w:line="240"/>
        <w:ind/>
        <w:rPr>
          <w:rFonts w:ascii="宋体" w:hAnsi="宋体" w:eastAsia="宋体" w:cs="宋体"/>
          <w:sz w:val="24"/>
        </w:rPr>
      </w:pPr>
      <w:r>
        <w:rPr>
          <w:rFonts w:hint="eastAsia" w:ascii="宋体" w:hAnsi="宋体" w:eastAsia="宋体" w:cs="宋体"/>
          <w:i w:val="0"/>
          <w:strike w:val="0"/>
          <w:spacing w:val="0"/>
          <w:sz w:val="24"/>
          <w:u w:val="none"/>
        </w:rPr>
        <w:t>天宫空间站 (Tiangong Space Station) 是中国首个太空实验室，拥有 110 多立方米使用空间，可驻留 3 名航天员，在距地球表面 400—450 公里的轨道上运行。</w:t>
      </w:r>
    </w:p>
    <w:p w14:paraId="76B3A475">
      <w:pPr>
        <w:pBdr/>
        <w:snapToGrid w:val="1"/>
        <w:spacing w:line="240"/>
        <w:ind/>
        <w:rPr>
          <w:rFonts w:ascii="宋体" w:hAnsi="宋体" w:eastAsia="宋体" w:cs="宋体"/>
          <w:i w:val="0"/>
          <w:strike w:val="0"/>
          <w:color w:val="000000"/>
          <w:sz w:val="24"/>
          <w:u w:val="none"/>
        </w:rPr>
      </w:pPr>
      <w:r>
        <w:rPr>
          <w:rFonts w:ascii="宋体" w:hAnsi="宋体" w:eastAsia="宋体" w:cs="宋体"/>
          <w:i w:val="0"/>
          <w:strike w:val="0"/>
          <w:color w:val="000000"/>
          <w:sz w:val="24"/>
          <w:u w:val="none"/>
        </w:rPr>
        <w:t>The Tiangong Space Station is China's first space laboratory. It has more than 110 cubic meters of usable space, can accommodate three astronauts, and orbits 400 to 450 kilometers above the Earth's surface.</w:t>
      </w:r>
    </w:p>
    <w:p w14:paraId="14CA4854">
      <w:pPr>
        <w:pBdr/>
        <w:snapToGrid w:val="1"/>
        <w:spacing w:line="240"/>
        <w:ind/>
        <w:rPr>
          <w:rFonts w:ascii="宋体" w:hAnsi="宋体" w:eastAsia="宋体" w:cs="宋体"/>
          <w:i w:val="0"/>
          <w:strike w:val="0"/>
          <w:color w:val="000000"/>
          <w:sz w:val="24"/>
          <w:u w:val="none"/>
        </w:rPr>
      </w:pPr>
    </w:p>
    <w:p w14:paraId="0B811918">
      <w:pPr>
        <w:pBdr/>
        <w:snapToGrid w:val="1"/>
        <w:spacing w:line="240"/>
        <w:ind/>
        <w:rPr>
          <w:rFonts w:ascii="宋体" w:hAnsi="宋体" w:eastAsia="宋体" w:cs="宋体"/>
          <w:i w:val="0"/>
          <w:strike w:val="0"/>
          <w:color w:val="000000"/>
          <w:spacing w:val="0"/>
          <w:sz w:val="24"/>
          <w:u w:val="none"/>
        </w:rPr>
      </w:pPr>
      <w:r>
        <w:rPr>
          <w:rFonts w:hint="eastAsia" w:ascii="宋体" w:hAnsi="宋体" w:eastAsia="宋体" w:cs="宋体"/>
          <w:i w:val="0"/>
          <w:strike w:val="0"/>
          <w:color w:val="000000"/>
          <w:spacing w:val="0"/>
          <w:sz w:val="24"/>
          <w:u w:val="none"/>
        </w:rPr>
        <w:t>天宫空间站已实施 180 多个科学研究与应用项目，涉及空间生命科学、太空医学、空间材料科学等领域。</w:t>
      </w:r>
    </w:p>
    <w:p w14:paraId="25FAC83D">
      <w:pPr>
        <w:snapToGrid w:val="1"/>
        <w:spacing w:line="240"/>
        <w:ind/>
        <w:rPr>
          <w:rFonts w:ascii="宋体" w:hAnsi="宋体" w:eastAsia="宋体" w:cs="宋体"/>
          <w:sz w:val="24"/>
        </w:rPr>
      </w:pPr>
      <w:r>
        <w:rPr>
          <w:rFonts w:ascii="宋体" w:hAnsi="宋体" w:eastAsia="宋体" w:cs="宋体"/>
          <w:i w:val="0"/>
          <w:strike w:val="0"/>
          <w:color w:val="000000"/>
          <w:sz w:val="24"/>
          <w:u w:val="none"/>
        </w:rPr>
        <w:t>The Tiangong Space Station has carried out more than 180 scientific research and application projects, covering fields such as space life science, space medicine, and space materials science.</w:t>
      </w:r>
    </w:p>
    <w:p w14:paraId="422C95A1">
      <w:pPr>
        <w:pBdr/>
        <w:snapToGrid w:val="1"/>
        <w:spacing w:line="240"/>
        <w:ind/>
        <w:rPr>
          <w:rFonts w:ascii="宋体" w:hAnsi="宋体" w:eastAsia="宋体" w:cs="宋体"/>
          <w:i w:val="0"/>
          <w:strike w:val="0"/>
          <w:color w:val="000000"/>
          <w:spacing w:val="0"/>
          <w:sz w:val="24"/>
          <w:u w:val="none"/>
        </w:rPr>
      </w:pPr>
    </w:p>
    <w:p w14:paraId="39113F51">
      <w:pPr>
        <w:pBdr/>
        <w:snapToGrid w:val="1"/>
        <w:spacing w:line="240"/>
        <w:ind/>
        <w:rPr>
          <w:rFonts w:ascii="宋体" w:hAnsi="宋体" w:eastAsia="宋体" w:cs="宋体"/>
          <w:i w:val="0"/>
          <w:strike w:val="0"/>
          <w:color w:val="000000"/>
          <w:spacing w:val="0"/>
          <w:sz w:val="24"/>
          <w:u w:val="none"/>
        </w:rPr>
      </w:pPr>
      <w:r>
        <w:rPr>
          <w:rFonts w:hint="eastAsia" w:ascii="宋体" w:hAnsi="宋体" w:eastAsia="宋体" w:cs="宋体"/>
          <w:i w:val="0"/>
          <w:strike w:val="0"/>
          <w:color w:val="000000"/>
          <w:spacing w:val="0"/>
          <w:sz w:val="24"/>
          <w:u w:val="none"/>
        </w:rPr>
        <w:t>天宫空间站的研究成果在我国得到了广泛应用，产生了显著的经济效益。</w:t>
      </w:r>
    </w:p>
    <w:p w14:paraId="2F017FBB">
      <w:pPr>
        <w:snapToGrid w:val="1"/>
        <w:spacing w:line="240"/>
        <w:ind/>
        <w:rPr>
          <w:rFonts w:ascii="宋体" w:hAnsi="宋体" w:eastAsia="宋体" w:cs="宋体"/>
          <w:sz w:val="24"/>
        </w:rPr>
      </w:pPr>
      <w:r>
        <w:rPr>
          <w:rFonts w:ascii="宋体" w:hAnsi="宋体" w:eastAsia="宋体" w:cs="宋体"/>
          <w:i w:val="0"/>
          <w:strike w:val="0"/>
          <w:color w:val="000000"/>
          <w:sz w:val="24"/>
          <w:u w:val="none"/>
        </w:rPr>
        <w:t>The research findings from the Tiangong Space Station have been widely applied in China, generating significant economic benefits.</w:t>
      </w:r>
    </w:p>
    <w:p w14:paraId="4D58162A">
      <w:pPr>
        <w:pBdr/>
        <w:snapToGrid w:val="1"/>
        <w:spacing w:line="240"/>
        <w:ind/>
        <w:rPr>
          <w:rFonts w:ascii="宋体" w:hAnsi="宋体" w:eastAsia="宋体" w:cs="宋体"/>
          <w:i w:val="0"/>
          <w:strike w:val="0"/>
          <w:color w:val="000000"/>
          <w:spacing w:val="0"/>
          <w:sz w:val="24"/>
          <w:u w:val="none"/>
        </w:rPr>
      </w:pPr>
    </w:p>
    <w:p w14:paraId="105CA5C7">
      <w:pPr>
        <w:pBdr/>
        <w:snapToGrid w:val="1"/>
        <w:spacing w:line="240"/>
        <w:ind/>
        <w:rPr>
          <w:rFonts w:ascii="宋体" w:hAnsi="宋体" w:eastAsia="宋体" w:cs="宋体"/>
          <w:i w:val="0"/>
          <w:strike w:val="0"/>
          <w:color w:val="000000"/>
          <w:spacing w:val="0"/>
          <w:sz w:val="24"/>
          <w:u w:val="none"/>
        </w:rPr>
      </w:pPr>
      <w:r>
        <w:rPr>
          <w:rFonts w:hint="eastAsia" w:ascii="宋体" w:hAnsi="宋体" w:eastAsia="宋体" w:cs="宋体"/>
          <w:i w:val="0"/>
          <w:strike w:val="0"/>
          <w:color w:val="000000"/>
          <w:spacing w:val="0"/>
          <w:sz w:val="24"/>
          <w:u w:val="none"/>
        </w:rPr>
        <w:t>例如，太空育种创造的直接经济效益高达数千亿元。</w:t>
      </w:r>
    </w:p>
    <w:p w14:paraId="0C0147E7">
      <w:pPr>
        <w:pBdr/>
        <w:snapToGrid w:val="1"/>
        <w:spacing w:line="240"/>
        <w:ind/>
        <w:rPr>
          <w:rFonts w:ascii="宋体" w:hAnsi="宋体" w:eastAsia="宋体" w:cs="宋体"/>
          <w:i w:val="0"/>
          <w:strike w:val="0"/>
          <w:color w:val="000000"/>
          <w:sz w:val="24"/>
          <w:u w:val="none"/>
        </w:rPr>
      </w:pPr>
      <w:r>
        <w:rPr>
          <w:rFonts w:ascii="宋体" w:hAnsi="宋体" w:eastAsia="宋体" w:cs="宋体"/>
          <w:i w:val="0"/>
          <w:strike w:val="0"/>
          <w:color w:val="000000"/>
          <w:sz w:val="24"/>
          <w:u w:val="none"/>
        </w:rPr>
        <w:t>For instance, space breeding has generated direct economic benefits of several hundred billion yuan.</w:t>
      </w:r>
    </w:p>
    <w:p w14:paraId="2DC81FE6">
      <w:pPr>
        <w:pBdr/>
        <w:snapToGrid w:val="1"/>
        <w:spacing w:line="240"/>
        <w:ind/>
        <w:rPr>
          <w:rFonts w:ascii="宋体" w:hAnsi="宋体" w:eastAsia="宋体" w:cs="宋体"/>
          <w:i w:val="0"/>
          <w:strike w:val="0"/>
          <w:color w:val="000000"/>
          <w:spacing w:val="0"/>
          <w:sz w:val="24"/>
          <w:u w:val="none"/>
        </w:rPr>
      </w:pPr>
    </w:p>
    <w:p w14:paraId="1BF48920">
      <w:pPr>
        <w:snapToGrid w:val="1"/>
        <w:spacing w:line="240"/>
        <w:ind/>
        <w:rPr>
          <w:rFonts w:ascii="宋体" w:hAnsi="宋体" w:eastAsia="宋体" w:cs="宋体"/>
          <w:i w:val="0"/>
          <w:strike w:val="0"/>
          <w:color w:val="000000"/>
          <w:spacing w:val="0"/>
          <w:sz w:val="24"/>
          <w:u w:val="none"/>
        </w:rPr>
      </w:pPr>
      <w:r>
        <w:rPr>
          <w:rFonts w:hint="eastAsia" w:ascii="宋体" w:hAnsi="宋体" w:eastAsia="宋体" w:cs="宋体"/>
          <w:i w:val="0"/>
          <w:strike w:val="0"/>
          <w:color w:val="000000"/>
          <w:spacing w:val="0"/>
          <w:sz w:val="24"/>
          <w:u w:val="none"/>
        </w:rPr>
        <w:t>这不仅标志中国在航天技术上取得了巨大进步，也表明中国为全球的太空研究和应用做出了重大贡献。</w:t>
      </w:r>
    </w:p>
    <w:p w14:paraId="6C159AE1">
      <w:pPr>
        <w:snapToGrid w:val="1"/>
        <w:spacing w:line="240"/>
        <w:ind/>
        <w:rPr>
          <w:rFonts w:ascii="宋体" w:hAnsi="宋体" w:eastAsia="宋体" w:cs="宋体"/>
          <w:sz w:val="24"/>
        </w:rPr>
      </w:pPr>
      <w:r>
        <w:rPr>
          <w:rFonts w:ascii="宋体" w:hAnsi="宋体" w:eastAsia="宋体" w:cs="宋体"/>
          <w:i w:val="0"/>
          <w:strike w:val="0"/>
          <w:color w:val="000000"/>
          <w:sz w:val="24"/>
          <w:u w:val="none"/>
        </w:rPr>
        <w:t>This not only marks China's remarkable progress in aerospace technology, but also demonstrates its significant contributions to global space research and applications.</w:t>
      </w:r>
    </w:p>
    <w:p w14:paraId="0ECA72FE">
      <w:pPr>
        <w:pStyle w:val="000001"/>
        <w:pBdr/>
        <w:ind/>
        <w:rPr>
          <w:rFonts w:ascii="宋体" w:hAnsi="宋体" w:eastAsia="宋体" w:cs="宋体"/>
          <w:sz w:val="24"/>
        </w:rPr>
      </w:pPr>
    </w:p>
    <w:p w14:paraId="288152EC">
      <w:pPr>
        <w:pStyle w:val="000007"/>
        <w:numPr>
          <w:ilvl w:val="0"/>
          <w:numId w:val="2"/>
        </w:numPr>
        <w:pBdr/>
        <w:rPr>
          <w:rFonts w:ascii="宋体" w:hAnsi="宋体" w:eastAsia="宋体" w:cs="宋体"/>
          <w:sz w:val="24"/>
        </w:rPr>
      </w:pPr>
    </w:p>
    <w:p w14:paraId="726A2178">
      <w:pPr>
        <w:pStyle w:val="000001"/>
        <w:pBdr/>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自古以来，中国的水资源北缺南丰，分布极不均衡。</w:t>
      </w:r>
    </w:p>
    <w:p w14:paraId="166DF8E1">
      <w:pPr>
        <w:snapToGrid w:val="1"/>
        <w:spacing w:line="240"/>
        <w:ind/>
        <w:rPr>
          <w:rFonts w:ascii="宋体" w:hAnsi="宋体" w:eastAsia="宋体" w:cs="宋体"/>
          <w:sz w:val="24"/>
        </w:rPr>
      </w:pPr>
      <w:r>
        <w:rPr>
          <w:rFonts w:ascii="宋体" w:hAnsi="宋体" w:eastAsia="宋体" w:cs="宋体"/>
          <w:i w:val="0"/>
          <w:strike w:val="0"/>
          <w:color w:val="000000"/>
          <w:sz w:val="24"/>
          <w:u w:val="none"/>
        </w:rPr>
        <w:t>Since ancient times, China's water resources have been scarce in the north and abundant in the south, with an extremely uneven distribution.</w:t>
      </w:r>
    </w:p>
    <w:p w14:paraId="3015E721">
      <w:pPr>
        <w:pStyle w:val="000001"/>
        <w:pBdr/>
        <w:ind/>
        <w:rPr>
          <w:rFonts w:ascii="宋体" w:hAnsi="宋体" w:eastAsia="宋体" w:cs="宋体"/>
          <w:i w:val="0"/>
          <w:strike w:val="0"/>
          <w:spacing w:val="0"/>
          <w:sz w:val="24"/>
          <w:u w:val="none"/>
        </w:rPr>
      </w:pPr>
    </w:p>
    <w:p w14:paraId="1FE6122D">
      <w:pPr>
        <w:pStyle w:val="000001"/>
        <w:pBdr/>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为了有效解决北方严重缺水问题，中国政府实施了南水北调工程 (the South-to-North Water Diversion Project)。</w:t>
      </w:r>
    </w:p>
    <w:p w14:paraId="7C97ED19">
      <w:pPr>
        <w:pStyle w:val="000001"/>
        <w:pBdr/>
        <w:ind/>
        <w:rPr>
          <w:rFonts w:ascii="宋体" w:hAnsi="宋体" w:eastAsia="宋体" w:cs="宋体"/>
          <w:i w:val="0"/>
          <w:strike w:val="0"/>
          <w:color w:val="000000"/>
          <w:sz w:val="24"/>
          <w:u w:val="none"/>
        </w:rPr>
      </w:pPr>
      <w:r>
        <w:rPr>
          <w:rFonts w:ascii="宋体" w:hAnsi="宋体" w:eastAsia="宋体" w:cs="宋体"/>
          <w:i w:val="0"/>
          <w:strike w:val="0"/>
          <w:color w:val="000000"/>
          <w:sz w:val="24"/>
          <w:u w:val="none"/>
        </w:rPr>
        <w:t>In order to effectively address the severe water shortage in northern China, the Chinese government has implemented the South-to-North Water Diversion Project.</w:t>
      </w:r>
    </w:p>
    <w:p w14:paraId="1D5E0288">
      <w:pPr>
        <w:pStyle w:val="000001"/>
        <w:pBdr/>
        <w:ind/>
        <w:rPr>
          <w:rFonts w:ascii="宋体" w:hAnsi="宋体" w:eastAsia="宋体" w:cs="宋体"/>
          <w:i w:val="0"/>
          <w:strike w:val="0"/>
          <w:color w:val="000000"/>
          <w:spacing w:val="0"/>
          <w:sz w:val="24"/>
          <w:u w:val="none"/>
        </w:rPr>
      </w:pPr>
    </w:p>
    <w:p w14:paraId="1BFA0028">
      <w:pPr>
        <w:pStyle w:val="000001"/>
        <w:pBdr/>
        <w:ind/>
        <w:rPr>
          <w:rFonts w:ascii="宋体" w:hAnsi="宋体" w:eastAsia="宋体" w:cs="宋体"/>
          <w:i w:val="0"/>
          <w:strike w:val="0"/>
          <w:color w:val="000000"/>
          <w:spacing w:val="0"/>
          <w:sz w:val="24"/>
          <w:u w:val="none"/>
        </w:rPr>
      </w:pPr>
      <w:r>
        <w:rPr>
          <w:rFonts w:hint="eastAsia" w:ascii="宋体" w:hAnsi="宋体" w:eastAsia="宋体" w:cs="宋体"/>
          <w:i w:val="0"/>
          <w:strike w:val="0"/>
          <w:color w:val="000000"/>
          <w:spacing w:val="0"/>
          <w:sz w:val="24"/>
          <w:u w:val="none"/>
        </w:rPr>
        <w:t>这是一项跨区域配置水资源的宏大水利工程。</w:t>
      </w:r>
    </w:p>
    <w:p w14:paraId="77DB6AC6">
      <w:pPr>
        <w:snapToGrid w:val="1"/>
        <w:spacing w:line="240"/>
        <w:ind/>
        <w:rPr>
          <w:rFonts w:ascii="宋体" w:hAnsi="宋体" w:eastAsia="宋体" w:cs="宋体"/>
          <w:sz w:val="24"/>
        </w:rPr>
      </w:pPr>
      <w:r>
        <w:rPr>
          <w:rFonts w:ascii="宋体" w:hAnsi="宋体" w:eastAsia="宋体" w:cs="宋体"/>
          <w:i w:val="0"/>
          <w:strike w:val="0"/>
          <w:color w:val="000000"/>
          <w:sz w:val="24"/>
          <w:u w:val="none"/>
        </w:rPr>
        <w:t>This is a large-scale water conservancy project designed to allocate water resources across regions.</w:t>
      </w:r>
    </w:p>
    <w:p w14:paraId="11038AC4">
      <w:pPr>
        <w:pStyle w:val="000001"/>
        <w:pBdr/>
        <w:ind/>
        <w:rPr>
          <w:rFonts w:ascii="宋体" w:hAnsi="宋体" w:eastAsia="宋体" w:cs="宋体"/>
          <w:i w:val="0"/>
          <w:strike w:val="0"/>
          <w:color w:val="000000"/>
          <w:spacing w:val="0"/>
          <w:sz w:val="24"/>
          <w:u w:val="none"/>
        </w:rPr>
      </w:pPr>
    </w:p>
    <w:p w14:paraId="23585626">
      <w:pPr>
        <w:pStyle w:val="000001"/>
        <w:pBdr/>
        <w:ind/>
        <w:rPr>
          <w:rFonts w:ascii="宋体" w:hAnsi="宋体" w:eastAsia="宋体" w:cs="宋体"/>
          <w:i w:val="0"/>
          <w:strike w:val="0"/>
          <w:color w:val="000000"/>
          <w:spacing w:val="0"/>
          <w:sz w:val="24"/>
          <w:u w:val="none"/>
        </w:rPr>
      </w:pPr>
      <w:r>
        <w:rPr>
          <w:rFonts w:hint="eastAsia" w:ascii="宋体" w:hAnsi="宋体" w:eastAsia="宋体" w:cs="宋体"/>
          <w:i w:val="0"/>
          <w:strike w:val="0"/>
          <w:color w:val="000000"/>
          <w:spacing w:val="0"/>
          <w:sz w:val="24"/>
          <w:u w:val="none"/>
        </w:rPr>
        <w:t>历经数十年的规划与筹备，工程于 2002 年开工建设，分为东、中、西 3 条线路，总长 4350 公里，惠及人口将超过 4亿。</w:t>
      </w:r>
    </w:p>
    <w:p w14:paraId="349C376A">
      <w:pPr>
        <w:snapToGrid w:val="1"/>
        <w:spacing w:line="240"/>
        <w:ind/>
        <w:rPr>
          <w:rFonts w:ascii="宋体" w:hAnsi="宋体" w:eastAsia="宋体" w:cs="宋体"/>
          <w:sz w:val="24"/>
        </w:rPr>
      </w:pPr>
      <w:r>
        <w:rPr>
          <w:rFonts w:ascii="宋体" w:hAnsi="宋体" w:eastAsia="宋体" w:cs="宋体"/>
          <w:i w:val="0"/>
          <w:strike w:val="0"/>
          <w:color w:val="000000"/>
          <w:sz w:val="24"/>
          <w:u w:val="none"/>
        </w:rPr>
        <w:t>After decades of planning and preparation, construction of the project began in 2002. It consists of three routes—the eastern, central and western routes—with a total length of 4,350 kilometers, and will benefit more than 400 million people.</w:t>
      </w:r>
    </w:p>
    <w:p w14:paraId="5B575E78">
      <w:pPr>
        <w:pStyle w:val="000001"/>
        <w:pBdr/>
        <w:ind/>
        <w:rPr>
          <w:rFonts w:ascii="宋体" w:hAnsi="宋体" w:eastAsia="宋体" w:cs="宋体"/>
          <w:i w:val="0"/>
          <w:strike w:val="0"/>
          <w:color w:val="000000"/>
          <w:spacing w:val="0"/>
          <w:sz w:val="24"/>
          <w:u w:val="none"/>
        </w:rPr>
      </w:pPr>
    </w:p>
    <w:p w14:paraId="714F90BB">
      <w:pPr>
        <w:pStyle w:val="000001"/>
        <w:pBdr/>
        <w:ind/>
        <w:rPr>
          <w:rFonts w:ascii="宋体" w:hAnsi="宋体" w:eastAsia="宋体" w:cs="宋体"/>
          <w:i w:val="0"/>
          <w:strike w:val="0"/>
          <w:color w:val="000000"/>
          <w:spacing w:val="0"/>
          <w:sz w:val="24"/>
          <w:u w:val="none"/>
        </w:rPr>
      </w:pPr>
      <w:r>
        <w:rPr>
          <w:rFonts w:hint="eastAsia" w:ascii="宋体" w:hAnsi="宋体" w:eastAsia="宋体" w:cs="宋体"/>
          <w:i w:val="0"/>
          <w:strike w:val="0"/>
          <w:color w:val="000000"/>
          <w:spacing w:val="0"/>
          <w:sz w:val="24"/>
          <w:u w:val="none"/>
        </w:rPr>
        <w:t>自 2014 年通水以来，工程向北方调水累计已超 500 亿立方米，为北方地区的人民提供了可靠的水资源，同时也极大地改善了这一地区的生态环境，促进了经济的可持续健康发展。</w:t>
      </w:r>
    </w:p>
    <w:p w14:paraId="30D72D65">
      <w:pPr>
        <w:snapToGrid w:val="1"/>
        <w:spacing w:line="240"/>
        <w:ind/>
        <w:rPr>
          <w:rFonts w:ascii="宋体" w:hAnsi="宋体" w:eastAsia="宋体" w:cs="宋体"/>
          <w:sz w:val="24"/>
        </w:rPr>
      </w:pPr>
      <w:r>
        <w:rPr>
          <w:rFonts w:ascii="宋体" w:hAnsi="宋体" w:eastAsia="宋体" w:cs="宋体"/>
          <w:i w:val="0"/>
          <w:strike w:val="0"/>
          <w:color w:val="000000"/>
          <w:sz w:val="24"/>
          <w:u w:val="none"/>
        </w:rPr>
        <w:t>Since it began supplying water in 2014, the project has transferred a total of more than 50 billion cubic meters of water to northern China, providing a reliable water supply for people in the region. At the same time, it has significantly improved the local ecological environment and promoted sustainable and healthy economic development.</w:t>
      </w:r>
    </w:p>
    <w:p w14:paraId="569E5164">
      <w:pPr>
        <w:pStyle w:val="000001"/>
        <w:pBdr/>
        <w:ind w:left="0"/>
        <w:rPr>
          <w:rFonts w:ascii="宋体" w:hAnsi="宋体" w:eastAsia="宋体" w:cs="宋体"/>
          <w:i w:val="0"/>
          <w:strike w:val="0"/>
          <w:color w:val="000000"/>
          <w:spacing w:val="0"/>
          <w:sz w:val="24"/>
          <w:u w:val="none"/>
        </w:rPr>
      </w:pPr>
    </w:p>
    <w:p w14:paraId="77477E66">
      <w:pPr>
        <w:pStyle w:val="000007"/>
        <w:numPr>
          <w:ilvl w:val="0"/>
          <w:numId w:val="2"/>
        </w:numPr>
        <w:pBdr/>
        <w:rPr>
          <w:rFonts w:ascii="宋体" w:hAnsi="宋体" w:eastAsia="宋体" w:cs="宋体"/>
          <w:sz w:val="24"/>
        </w:rPr>
      </w:pPr>
    </w:p>
    <w:p w14:paraId="0F376C28">
      <w:pPr>
        <w:pStyle w:val="000001"/>
        <w:pBdr/>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粵港澳大湾区 (Guangdong-Hong Kong-Macao Greater Bay Area) 具有得天独厚的地理位置，拥有完善的交通基础设施和丰富的产业资源。</w:t>
      </w:r>
    </w:p>
    <w:p w14:paraId="03ED3235">
      <w:pPr>
        <w:snapToGrid w:val="1"/>
        <w:spacing w:line="240"/>
        <w:ind/>
        <w:rPr>
          <w:rFonts w:ascii="宋体" w:hAnsi="宋体" w:eastAsia="宋体" w:cs="宋体"/>
          <w:sz w:val="24"/>
        </w:rPr>
      </w:pPr>
      <w:r>
        <w:rPr>
          <w:rFonts w:ascii="宋体" w:hAnsi="宋体" w:eastAsia="宋体" w:cs="宋体"/>
          <w:i w:val="0"/>
          <w:strike w:val="0"/>
          <w:color w:val="000000"/>
          <w:sz w:val="24"/>
          <w:u w:val="none"/>
        </w:rPr>
        <w:t>The Guangdong-Hong Kong-Macao Greater Bay Area enjoys a uniquely advantageous geographical location and boasts well-developed transportation infrastructure and abundant industrial resources.</w:t>
      </w:r>
    </w:p>
    <w:p w14:paraId="22341554">
      <w:pPr>
        <w:pStyle w:val="000001"/>
        <w:pBdr/>
        <w:ind/>
        <w:rPr>
          <w:rFonts w:ascii="宋体" w:hAnsi="宋体" w:eastAsia="宋体" w:cs="宋体"/>
          <w:i w:val="0"/>
          <w:strike w:val="0"/>
          <w:spacing w:val="0"/>
          <w:sz w:val="24"/>
          <w:u w:val="none"/>
        </w:rPr>
      </w:pPr>
    </w:p>
    <w:p w14:paraId="538E78FF">
      <w:pPr>
        <w:pStyle w:val="000001"/>
        <w:pBdr/>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大湾区是中国开放程度最高、经济活力最强的区域之一，在国家经济发展中具有重要的战略地位。</w:t>
      </w:r>
    </w:p>
    <w:p w14:paraId="7249508A">
      <w:pPr>
        <w:snapToGrid w:val="1"/>
        <w:spacing w:line="240"/>
        <w:ind/>
        <w:rPr>
          <w:rFonts w:ascii="宋体" w:hAnsi="宋体" w:eastAsia="宋体" w:cs="宋体"/>
          <w:sz w:val="24"/>
        </w:rPr>
      </w:pPr>
      <w:r>
        <w:rPr>
          <w:rFonts w:ascii="宋体" w:hAnsi="宋体" w:eastAsia="宋体" w:cs="宋体"/>
          <w:i w:val="0"/>
          <w:strike w:val="0"/>
          <w:color w:val="000000"/>
          <w:sz w:val="24"/>
          <w:u w:val="none"/>
        </w:rPr>
        <w:t>The Greater Bay Area is one of the most open and economically vibrant regions in China and holds an important strategic position in China's economic development.</w:t>
      </w:r>
    </w:p>
    <w:p w14:paraId="1591BD18">
      <w:pPr>
        <w:pStyle w:val="000001"/>
        <w:pBdr/>
        <w:ind/>
        <w:rPr>
          <w:rFonts w:ascii="宋体" w:hAnsi="宋体" w:eastAsia="宋体" w:cs="宋体"/>
          <w:i w:val="0"/>
          <w:strike w:val="0"/>
          <w:spacing w:val="0"/>
          <w:sz w:val="24"/>
          <w:u w:val="none"/>
        </w:rPr>
      </w:pPr>
    </w:p>
    <w:p w14:paraId="3ECB1D65">
      <w:pPr>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大湾区不仅将建成充满活力的世界级城市群和具有全球影响力的国际科技创新中心，还将打造成适合工作、购物、旅游的优质生活圈。</w:t>
      </w:r>
    </w:p>
    <w:p w14:paraId="4D4B11B2">
      <w:pPr>
        <w:snapToGrid w:val="1"/>
        <w:spacing w:line="240"/>
        <w:ind/>
        <w:rPr>
          <w:rFonts w:ascii="宋体" w:hAnsi="宋体" w:eastAsia="宋体" w:cs="宋体"/>
          <w:sz w:val="24"/>
        </w:rPr>
      </w:pPr>
      <w:r>
        <w:rPr>
          <w:rFonts w:ascii="宋体" w:hAnsi="宋体" w:eastAsia="宋体" w:cs="宋体"/>
          <w:i w:val="0"/>
          <w:strike w:val="0"/>
          <w:color w:val="000000"/>
          <w:sz w:val="24"/>
          <w:u w:val="none"/>
        </w:rPr>
        <w:t>The Greater Bay Area will be developed into not only a vibrant world-class city cluster and an international science and technology innovation center with global influence, but also a high-quality living environment ideal for working, shopping and traveling.</w:t>
      </w:r>
    </w:p>
    <w:p w14:paraId="6F022D30">
      <w:pPr>
        <w:pBdr/>
        <w:snapToGrid w:val="1"/>
        <w:spacing w:line="240"/>
        <w:ind/>
        <w:rPr>
          <w:rFonts w:ascii="宋体" w:hAnsi="宋体" w:eastAsia="宋体" w:cs="宋体"/>
          <w:i w:val="0"/>
          <w:strike w:val="0"/>
          <w:spacing w:val="0"/>
          <w:sz w:val="24"/>
          <w:u w:val="none"/>
        </w:rPr>
      </w:pPr>
    </w:p>
    <w:p w14:paraId="2826A320">
      <w:pPr>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随着改革开放的不断深入，大湾区的建设将进一步推动区域经济发展。</w:t>
      </w:r>
    </w:p>
    <w:p w14:paraId="7EF05315">
      <w:pPr>
        <w:snapToGrid w:val="1"/>
        <w:spacing w:line="240"/>
        <w:ind/>
        <w:rPr>
          <w:rFonts w:ascii="宋体" w:hAnsi="宋体" w:eastAsia="宋体" w:cs="宋体"/>
          <w:sz w:val="24"/>
        </w:rPr>
      </w:pPr>
      <w:r>
        <w:rPr>
          <w:rFonts w:ascii="宋体" w:hAnsi="宋体" w:eastAsia="宋体" w:cs="宋体"/>
          <w:i w:val="0"/>
          <w:strike w:val="0"/>
          <w:color w:val="000000"/>
          <w:sz w:val="24"/>
          <w:u w:val="none"/>
        </w:rPr>
        <w:t>As reform and opening-up continues to deepen, the development of the Greater Bay Area will further promote regional economic development.</w:t>
      </w:r>
    </w:p>
    <w:p w14:paraId="00BB9494">
      <w:pPr>
        <w:pBdr/>
        <w:snapToGrid w:val="1"/>
        <w:spacing w:line="240"/>
        <w:ind/>
        <w:rPr>
          <w:rFonts w:ascii="宋体" w:hAnsi="宋体" w:eastAsia="宋体" w:cs="宋体"/>
          <w:i w:val="0"/>
          <w:strike w:val="0"/>
          <w:spacing w:val="0"/>
          <w:sz w:val="24"/>
          <w:u w:val="none"/>
        </w:rPr>
      </w:pPr>
    </w:p>
    <w:p w14:paraId="5259B1A3">
      <w:pPr>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到 2035 年，大湾区将实现成为国际一流湾区的目标。</w:t>
      </w:r>
    </w:p>
    <w:p w14:paraId="11F13ED5">
      <w:pPr>
        <w:pBdr>
          <w:bottom/>
        </w:pBdr>
        <w:snapToGrid w:val="1"/>
        <w:spacing w:line="240"/>
        <w:ind/>
        <w:rPr>
          <w:rFonts w:ascii="宋体" w:hAnsi="宋体" w:eastAsia="宋体" w:cs="宋体"/>
          <w:sz w:val="24"/>
        </w:rPr>
      </w:pPr>
      <w:r>
        <w:rPr>
          <w:rFonts w:ascii="宋体" w:hAnsi="宋体" w:eastAsia="宋体" w:cs="宋体"/>
          <w:i w:val="0"/>
          <w:strike w:val="0"/>
          <w:color w:val="000000"/>
          <w:sz w:val="24"/>
          <w:u w:val="none"/>
        </w:rPr>
        <w:t>By 2035, the Greater Bay Area will achieve its goal of becoming a world-class bay area.</w:t>
      </w: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0">
    <w:lvl w:ilvl="6">
      <w:start w:val="1"/>
      <w:numFmt w:val="decimal"/>
      <w:lvlText w:val="%1.%2.%3.%4.%5.%6.%7."/>
      <w:lvlJc w:val="left"/>
      <w:pPr>
        <w:ind w:left="3984" w:hanging="1344"/>
      </w:pPr>
    </w:lvl>
    <w:lvl w:ilvl="4">
      <w:start w:val="1"/>
      <w:numFmt w:val="decimal"/>
      <w:lvlText w:val="%1.%2.%3.%4.%5."/>
      <w:lvlJc w:val="left"/>
      <w:pPr>
        <w:ind w:left="2768" w:hanging="1008"/>
      </w:pPr>
    </w:lvl>
    <w:lvl w:ilvl="3">
      <w:start w:val="1"/>
      <w:numFmt w:val="decimal"/>
      <w:lvlText w:val="%1.%2.%3.%4."/>
      <w:lvlJc w:val="left"/>
      <w:pPr>
        <w:ind w:left="2160" w:hanging="840"/>
      </w:pPr>
    </w:lvl>
    <w:lvl w:ilvl="8">
      <w:start w:val="1"/>
      <w:numFmt w:val="decimal"/>
      <w:lvlText w:val="%1.%2.%3.%4.%5.%6.%7.%8.%9."/>
      <w:lvlJc w:val="left"/>
      <w:pPr>
        <w:ind w:left="5200" w:hanging="1680"/>
      </w:pPr>
    </w:lvl>
    <w:lvl w:ilvl="0">
      <w:start w:val="1"/>
      <w:numFmt w:val="decimal"/>
      <w:lvlText w:val="%1."/>
      <w:lvlJc w:val="left"/>
      <w:pPr>
        <w:ind w:left="336" w:hanging="336"/>
      </w:pPr>
      <w:rPr/>
    </w:lvl>
    <w:lvl w:ilvl="5">
      <w:start w:val="1"/>
      <w:numFmt w:val="decimal"/>
      <w:lvlText w:val="%1.%2.%3.%4.%5.%6."/>
      <w:lvlJc w:val="left"/>
      <w:pPr>
        <w:ind w:left="3376" w:hanging="1176"/>
      </w:pPr>
    </w:lvl>
    <w:lvl w:ilvl="1">
      <w:start w:val="1"/>
      <w:numFmt w:val="decimal"/>
      <w:lvlText w:val="%1.%2."/>
      <w:lvlJc w:val="left"/>
      <w:pPr>
        <w:ind w:left="944" w:hanging="504"/>
      </w:pPr>
    </w:lvl>
    <w:lvl w:ilvl="7">
      <w:start w:val="1"/>
      <w:numFmt w:val="decimal"/>
      <w:lvlText w:val="%1.%2.%3.%4.%5.%6.%7.%8."/>
      <w:lvlJc w:val="left"/>
      <w:pPr>
        <w:ind w:left="4592" w:hanging="1512"/>
      </w:pPr>
    </w:lvl>
    <w:lvl w:ilvl="2">
      <w:start w:val="1"/>
      <w:numFmt w:val="decimal"/>
      <w:lvlText w:val="%1.%2.%3."/>
      <w:lvlJc w:val="left"/>
      <w:pPr>
        <w:ind w:left="1552" w:hanging="672"/>
      </w:pPr>
    </w:lvl>
  </w:abstractNum>
  <w:abstractNum w:abstractNumId="1">
    <w:lvl w:ilvl="5">
      <w:start w:val="1"/>
      <w:numFmt w:val="decimal"/>
      <w:lvlText w:val="%1.%2.%3.%4.%5.%6."/>
      <w:lvlJc w:val="left"/>
      <w:pPr>
        <w:ind w:left="3376" w:hanging="1176"/>
      </w:pPr>
    </w:lvl>
    <w:lvl w:ilvl="8">
      <w:start w:val="1"/>
      <w:numFmt w:val="decimal"/>
      <w:lvlText w:val="%1.%2.%3.%4.%5.%6.%7.%8.%9."/>
      <w:lvlJc w:val="left"/>
      <w:pPr>
        <w:ind w:left="5200" w:hanging="1680"/>
      </w:pPr>
    </w:lvl>
    <w:lvl w:ilvl="1">
      <w:start w:val="1"/>
      <w:numFmt w:val="decimal"/>
      <w:lvlText w:val="%1.%2."/>
      <w:lvlJc w:val="left"/>
      <w:pPr>
        <w:ind w:left="944" w:hanging="504"/>
      </w:pPr>
    </w:lvl>
    <w:lvl w:ilvl="6">
      <w:start w:val="1"/>
      <w:numFmt w:val="decimal"/>
      <w:lvlText w:val="%1.%2.%3.%4.%5.%6.%7."/>
      <w:lvlJc w:val="left"/>
      <w:pPr>
        <w:ind w:left="3984" w:hanging="1344"/>
      </w:pPr>
    </w:lvl>
    <w:lvl w:ilvl="7">
      <w:start w:val="1"/>
      <w:numFmt w:val="decimal"/>
      <w:lvlText w:val="%1.%2.%3.%4.%5.%6.%7.%8."/>
      <w:lvlJc w:val="left"/>
      <w:pPr>
        <w:ind w:left="4592" w:hanging="1512"/>
      </w:pPr>
    </w:lvl>
    <w:lvl w:ilvl="0">
      <w:start w:val="2"/>
      <w:numFmt w:val="decimal"/>
      <w:lvlText w:val="%1."/>
      <w:lvlJc w:val="left"/>
      <w:pPr>
        <w:ind w:left="336" w:hanging="336"/>
      </w:pPr>
      <w:rPr/>
    </w:lvl>
    <w:lvl w:ilvl="4">
      <w:start w:val="1"/>
      <w:numFmt w:val="decimal"/>
      <w:lvlText w:val="%1.%2.%3.%4.%5."/>
      <w:lvlJc w:val="left"/>
      <w:pPr>
        <w:ind w:left="2768" w:hanging="1008"/>
      </w:pPr>
    </w:lvl>
    <w:lvl w:ilvl="2">
      <w:start w:val="1"/>
      <w:numFmt w:val="decimal"/>
      <w:lvlText w:val="%1.%2.%3."/>
      <w:lvlJc w:val="left"/>
      <w:pPr>
        <w:ind w:left="1552" w:hanging="672"/>
      </w:pPr>
    </w:lvl>
    <w:lvl w:ilvl="3">
      <w:start w:val="1"/>
      <w:numFmt w:val="decimal"/>
      <w:lvlText w:val="%1.%2.%3.%4."/>
      <w:lvlJc w:val="left"/>
      <w:pPr>
        <w:ind w:left="2160" w:hanging="840"/>
      </w:pPr>
    </w:lvl>
  </w:abstractNum>
  <w:num w:numId="2">
    <w:abstractNumId w:val="0"/>
  </w:num>
  <w:num w:numId="1">
    <w:abstractNumId w:val="1"/>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Setting w:name="useWord2013TrackBottomHyphenation"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No Spacing" w:uiPriority="99"/>
    <w:lsdException w:name="List Table 5 Dark Accent 1" w:uiPriority="50"/>
    <w:lsdException w:name="Light Shading Accent 3" w:uiPriority="60"/>
    <w:lsdException w:name="Table Grid 1" w:semiHidden="1" w:unhideWhenUsed="1"/>
    <w:lsdException w:name="List Table 3 Accent 2" w:uiPriority="48"/>
    <w:lsdException w:name="toc 6" w:uiPriority="99"/>
    <w:lsdException w:name="Medium Grid 1 Accent 3" w:uiPriority="67"/>
    <w:lsdException w:name="Colorful List Accent 3" w:uiPriority="72"/>
    <w:lsdException w:name="Grid Table 4 Accent 6" w:uiPriority="49"/>
    <w:lsdException w:name="HTML Address" w:uiPriority="99"/>
    <w:lsdException w:name="Grid Table 6 Colorful Accent 5" w:uiPriority="51"/>
    <w:lsdException w:name="Intense Emphasis" w:uiPriority="21" w:qFormat="1"/>
    <w:lsdException w:name="Table List 8" w:semiHidden="1" w:unhideWhenUsed="1"/>
    <w:lsdException w:name="Grid Table 6 Colorful" w:uiPriority="51"/>
    <w:lsdException w:name="List Table 1 Light Accent 2" w:uiPriority="46"/>
    <w:lsdException w:name="toc 3" w:uiPriority="99"/>
    <w:lsdException w:name="Grid Table 1 Light" w:uiPriority="46"/>
    <w:lsdException w:name="HTML Definition" w:uiPriority="99"/>
    <w:lsdException w:name="Colorful Shading Accent 1" w:uiPriority="71"/>
    <w:lsdException w:name="Medium List 2 Accent 3" w:uiPriority="66"/>
    <w:lsdException w:name="Plain Table 3" w:uiPriority="43"/>
    <w:lsdException w:name="No List" w:uiPriority="99" w:semiHidden="1" w:unhideWhenUsed="1"/>
    <w:lsdException w:name="List Table 3 Accent 6" w:uiPriority="48"/>
    <w:lsdException w:name="Colorful Shading Accent 6" w:uiPriority="71"/>
    <w:lsdException w:name="Plain Table 2" w:uiPriority="42"/>
    <w:lsdException w:name="Unresolved Mention" w:uiPriority="99" w:semiHidden="1" w:unhideWhenUsed="1"/>
    <w:lsdException w:name="Table Simple 3" w:semiHidden="1" w:unhideWhenUsed="1"/>
    <w:lsdException w:name="Dark List Accent 5" w:uiPriority="70"/>
    <w:lsdException w:name="Medium Shading 1 Accent 6" w:uiPriority="63"/>
    <w:lsdException w:name="Normal" w:qFormat="1"/>
    <w:lsdException w:name="Grid Table 2 Accent 6" w:uiPriority="47"/>
    <w:lsdException w:name="Table Grid" w:qFormat="1"/>
    <w:lsdException w:name="Table Web 3" w:semiHidden="1" w:unhideWhenUsed="1"/>
    <w:lsdException w:name="Subtle Emphasis" w:uiPriority="19" w:qFormat="1"/>
    <w:lsdException w:name="Intense Reference" w:uiPriority="32" w:qFormat="1"/>
    <w:lsdException w:name="Grid Table 5 Dark Accent 2" w:uiPriority="50"/>
    <w:lsdException w:name="Grid Table 7 Colorful Accent 1" w:uiPriority="52"/>
    <w:lsdException w:name="List Table 4" w:uiPriority="49"/>
    <w:lsdException w:name="Colorful List" w:uiPriority="72"/>
    <w:lsdException w:name="List Table 1 Light Accent 1" w:uiPriority="46"/>
    <w:lsdException w:name="Table Grid 5" w:semiHidden="1" w:unhideWhenUsed="1"/>
    <w:lsdException w:name="Colorful Shading Accent 3" w:uiPriority="71"/>
    <w:lsdException w:name="List Table 7 Colorful Accent 1" w:uiPriority="52"/>
    <w:lsdException w:name="List Table 1 Light Accent 5" w:uiPriority="46"/>
    <w:lsdException w:name="Medium Grid 1" w:uiPriority="67"/>
    <w:lsdException w:name="Grid Table 6 Colorful Accent 3" w:uiPriority="51"/>
    <w:lsdException w:name="List Table 2 Accent 6" w:uiPriority="47"/>
    <w:lsdException w:name="List Table 4 Accent 6" w:uiPriority="49"/>
    <w:lsdException w:name="Light Grid Accent 5" w:uiPriority="62"/>
    <w:lsdException w:name="List Table 1 Light" w:uiPriority="46"/>
    <w:lsdException w:name="Table Colorful 3" w:semiHidden="1" w:unhideWhenUsed="1"/>
    <w:lsdException w:name="Colorful Grid Accent 4" w:uiPriority="73"/>
    <w:lsdException w:name="Light Grid Accent 4" w:uiPriority="62"/>
    <w:lsdException w:name="toc 1" w:uiPriority="99"/>
    <w:lsdException w:name="Table Columns 5" w:semiHidden="1" w:unhideWhenUsed="1"/>
    <w:lsdException w:name="Dark List Accent 1" w:uiPriority="70"/>
    <w:lsdException w:name="Light Shading Accent 2" w:uiPriority="60"/>
    <w:lsdException w:name="Medium Grid 1 Accent 5" w:uiPriority="67"/>
    <w:lsdException w:name="Grid Table 3 Accent 6" w:uiPriority="48"/>
    <w:lsdException w:name="List Table 6 Colorful Accent 2" w:uiPriority="51"/>
    <w:lsdException w:name="Medium Shading 1" w:uiPriority="63"/>
    <w:lsdException w:name="Table List 3" w:semiHidden="1" w:unhideWhenUsed="1"/>
    <w:lsdException w:name="footnote reference" w:uiPriority="99" w:semiHidden="1" w:unhideWhenUsed="1"/>
    <w:lsdException w:name="heading 5" w:qFormat="1"/>
    <w:lsdException w:name="Dark List" w:uiPriority="70"/>
    <w:lsdException w:name="Light List Accent 5" w:uiPriority="61"/>
    <w:lsdException w:name="List Table 1 Light Accent 4" w:uiPriority="46"/>
    <w:lsdException w:name="Placeholder Text" w:uiPriority="99" w:semiHidden="1"/>
    <w:lsdException w:name="Medium List 2 Accent 4" w:uiPriority="66"/>
    <w:lsdException w:name="Table Columns 4" w:semiHidden="1" w:unhideWhenUsed="1"/>
    <w:lsdException w:name="List Table 6 Colorful Accent 5" w:uiPriority="51"/>
    <w:lsdException w:name="HTML Typewriter" w:uiPriority="99"/>
    <w:lsdException w:name="Table List 1" w:semiHidden="1" w:unhideWhenUsed="1"/>
    <w:lsdException w:name="List Table 6 Colorful Accent 1" w:uiPriority="51"/>
    <w:lsdException w:name="Light List" w:uiPriority="61"/>
    <w:lsdException w:name="List Table 4 Accent 5" w:uiPriority="49"/>
    <w:lsdException w:name="heading 7" w:unhideWhenUsed="1" w:qFormat="1"/>
    <w:lsdException w:name="heading 8" w:unhideWhenUsed="1" w:qFormat="1"/>
    <w:lsdException w:name="Medium Grid 1 Accent 6" w:uiPriority="67"/>
    <w:lsdException w:name="Grid Table 4 Accent 5" w:uiPriority="49"/>
    <w:lsdException w:name="Medium Grid 2 Accent 1" w:uiPriority="68"/>
    <w:lsdException w:name="Grid Table 7 Colorful Accent 6" w:uiPriority="52"/>
    <w:lsdException w:name="Medium Grid 2 Accent 2" w:uiPriority="68"/>
    <w:lsdException w:name="Title" w:qFormat="1"/>
    <w:lsdException w:name="Medium Shading 1 Accent 2" w:uiPriority="63"/>
    <w:lsdException w:name="List Table 4 Accent 1" w:uiPriority="49"/>
    <w:lsdException w:name="Table Grid 6" w:semiHidden="1" w:unhideWhenUsed="1"/>
    <w:lsdException w:name="Medium Grid 3" w:uiPriority="69"/>
    <w:lsdException w:name="Light List Accent 1" w:uiPriority="61"/>
    <w:lsdException w:name="Table Grid 4" w:semiHidden="1" w:unhideWhenUsed="1"/>
    <w:lsdException w:name="Grid Table 2 Accent 5" w:uiPriority="47"/>
    <w:lsdException w:name="Medium Grid 3 Accent 4" w:uiPriority="69"/>
    <w:lsdException w:name="Medium Shading 2 Accent 6" w:uiPriority="64"/>
    <w:lsdException w:name="Table Contemporary" w:semiHidden="1" w:unhideWhenUsed="1"/>
    <w:lsdException w:name="List Table 7 Colorful Accent 4" w:uiPriority="52"/>
    <w:lsdException w:name="Table Columns 2" w:semiHidden="1" w:unhideWhenUsed="1"/>
    <w:lsdException w:name="Grid Table 3" w:uiPriority="48"/>
    <w:lsdException w:name="Grid Table 7 Colorful Accent 5" w:uiPriority="52"/>
    <w:lsdException w:name="Grid Table 4 Accent 1" w:uiPriority="49"/>
    <w:lsdException w:name="Table Grid 2" w:semiHidden="1" w:unhideWhenUsed="1"/>
    <w:lsdException w:name="Colorful Grid Accent 3" w:uiPriority="73"/>
    <w:lsdException w:name="Light Shading" w:uiPriority="60"/>
    <w:lsdException w:name="List Table 5 Dark Accent 2" w:uiPriority="50"/>
    <w:lsdException w:name="Light List Accent 6" w:uiPriority="61"/>
    <w:lsdException w:name="Grid Table 7 Colorful Accent 2" w:uiPriority="52"/>
    <w:lsdException w:name="Colorful Grid Accent 5" w:uiPriority="73"/>
    <w:lsdException w:name="List Table 7 Colorful" w:uiPriority="52"/>
    <w:lsdException w:name="heading 9" w:unhideWhenUsed="1" w:qFormat="1"/>
    <w:lsdException w:name="Grid Table 5 Dark" w:uiPriority="50"/>
    <w:lsdException w:name="Grid Table 2 Accent 2" w:uiPriority="47"/>
    <w:lsdException w:name="Medium Grid 2" w:uiPriority="68"/>
    <w:lsdException w:name="Outline List 1" w:uiPriority="99" w:semiHidden="1" w:unhideWhenUsed="1"/>
    <w:lsdException w:name="Light Shading Accent 1" w:uiPriority="60"/>
    <w:lsdException w:name="Grid Table 4 Accent 4" w:uiPriority="49"/>
    <w:lsdException w:name="Light List Accent 3" w:uiPriority="61"/>
    <w:lsdException w:name="Hashtag" w:uiPriority="99" w:semiHidden="1" w:unhideWhenUsed="1"/>
    <w:lsdException w:name="Grid Table 3 Accent 1" w:uiPriority="48"/>
    <w:lsdException w:name="caption" w:semiHidden="1" w:unhideWhenUsed="1" w:qFormat="1"/>
    <w:lsdException w:name="Grid Table 2 Accent 4" w:uiPriority="47"/>
    <w:lsdException w:name="Subtle Reference" w:uiPriority="31" w:qFormat="1"/>
    <w:lsdException w:name="Table Web 2" w:semiHidden="1" w:unhideWhenUsed="1"/>
    <w:lsdException w:name="Table Colorful 1" w:semiHidden="1" w:unhideWhenUsed="1"/>
    <w:lsdException w:name="Medium Grid 1 Accent 4" w:uiPriority="67"/>
    <w:lsdException w:name="Medium List 2" w:uiPriority="66"/>
    <w:lsdException w:name="List Table 2 Accent 1" w:uiPriority="47"/>
    <w:lsdException w:name="toc 7" w:uiPriority="99"/>
    <w:lsdException w:name="heading 6" w:qFormat="1"/>
    <w:lsdException w:name="Emphasis" w:qFormat="1"/>
    <w:lsdException w:name="Colorful Grid" w:uiPriority="73"/>
    <w:lsdException w:name="Medium Grid 3 Accent 2" w:uiPriority="69"/>
    <w:lsdException w:name="List Table 5 Dark Accent 6" w:uiPriority="50"/>
    <w:lsdException w:name="Table Elegant" w:semiHidden="1" w:unhideWhenUsed="1"/>
    <w:lsdException w:name="Mention" w:uiPriority="99" w:semiHidden="1" w:unhideWhenUsed="1"/>
    <w:lsdException w:name="List Table 2 Accent 5" w:uiPriority="47"/>
    <w:lsdException w:name="List Table 6 Colorful Accent 3" w:uiPriority="51"/>
    <w:lsdException w:name="List Table 3 Accent 5" w:uiPriority="48"/>
    <w:lsdException w:name="Medium Grid 2 Accent 5" w:uiPriority="68"/>
    <w:lsdException w:name="Grid Table 7 Colorful" w:uiPriority="52"/>
    <w:lsdException w:name="toc 8" w:uiPriority="99"/>
    <w:lsdException w:name="Grid Table 3 Accent 4" w:uiPriority="48"/>
    <w:lsdException w:name="List Table 2 Accent 2" w:uiPriority="47"/>
    <w:lsdException w:name="Table Classic 1" w:semiHidden="1" w:unhideWhenUsed="1"/>
    <w:lsdException w:name="List Table 6 Colorful Accent 6" w:uiPriority="51"/>
    <w:lsdException w:name="Medium List 2 Accent 1" w:uiPriority="66"/>
    <w:lsdException w:name="Grid Table 7 Colorful Accent 3" w:uiPriority="52"/>
    <w:lsdException w:name="Grid Table 6 Colorful Accent 6" w:uiPriority="51"/>
    <w:lsdException w:name="Revision" w:uiPriority="99" w:semiHidden="1"/>
    <w:lsdException w:name="List Table 5 Dark Accent 4" w:uiPriority="50"/>
    <w:lsdException w:name="Medium Shading 2" w:uiPriority="64"/>
    <w:lsdException w:name="Grid Table 1 Light Accent 6" w:uiPriority="46"/>
    <w:lsdException w:name="Medium List 1 Accent 5" w:uiPriority="65"/>
    <w:lsdException w:name="Grid Table 5 Dark Accent 6" w:uiPriority="50"/>
    <w:lsdException w:name="Medium List 2 Accent 2" w:uiPriority="66"/>
    <w:lsdException w:name="Grid Table 5 Dark Accent 3" w:uiPriority="50"/>
    <w:lsdException w:name="List Table 1 Light Accent 6" w:uiPriority="46"/>
    <w:lsdException w:name="List Table 3 Accent 3" w:uiPriority="48"/>
    <w:lsdException w:name="List Table 3" w:uiPriority="48"/>
    <w:lsdException w:name="Colorful Grid Accent 2" w:uiPriority="73"/>
    <w:lsdException w:name="Colorful List Accent 6" w:uiPriority="72"/>
    <w:lsdException w:name="Outline List 2" w:uiPriority="99" w:semiHidden="1" w:unhideWhenUsed="1"/>
    <w:lsdException w:name="Subtitle" w:qFormat="1"/>
    <w:lsdException w:name="Light Shading Accent 6" w:uiPriority="60"/>
    <w:lsdException w:name="Table Classic 3" w:semiHidden="1" w:unhideWhenUsed="1"/>
    <w:lsdException w:name="Medium Shading 2 Accent 5" w:uiPriority="64"/>
    <w:lsdException w:name="List Table 5 Dark Accent 5" w:uiPriority="50"/>
    <w:lsdException w:name="HTML Sample" w:uiPriority="99"/>
    <w:lsdException w:name="Table Classic 2" w:semiHidden="1" w:unhideWhenUsed="1"/>
    <w:lsdException w:name="List Table 7 Colorful Accent 3" w:uiPriority="52"/>
    <w:lsdException w:name="Grid Table 2 Accent 1" w:uiPriority="47"/>
    <w:lsdException w:name="Medium List 2 Accent 5" w:uiPriority="66"/>
    <w:lsdException w:name="Dark List Accent 4" w:uiPriority="70"/>
    <w:lsdException w:name="Table 3D effects 3" w:semiHidden="1" w:unhideWhenUsed="1"/>
    <w:lsdException w:name="List Table 6 Colorful" w:uiPriority="51"/>
    <w:lsdException w:name="List Table 3 Accent 1" w:uiPriority="48"/>
    <w:lsdException w:name="Medium Grid 2 Accent 6" w:uiPriority="68"/>
    <w:lsdException w:name="Medium Shading 2 Accent 2" w:uiPriority="64"/>
    <w:lsdException w:name="List Paragraph" w:uiPriority="99"/>
    <w:lsdException w:name="List Table 6 Colorful Accent 4" w:uiPriority="51"/>
    <w:lsdException w:name="toc 5" w:uiPriority="99"/>
    <w:lsdException w:name="Medium List 1 Accent 4" w:uiPriority="65"/>
    <w:lsdException w:name="HTML Preformatted" w:uiPriority="99"/>
    <w:lsdException w:name="Medium Shading 1 Accent 1" w:uiPriority="63"/>
    <w:lsdException w:name="Table 3D effects 1" w:semiHidden="1" w:unhideWhenUsed="1"/>
    <w:lsdException w:name="Medium List 2 Accent 6" w:uiPriority="66"/>
    <w:lsdException w:name="Grid Table 1 Light Accent 4" w:uiPriority="46"/>
    <w:lsdException w:name="List Table 2 Accent 3" w:uiPriority="47"/>
    <w:lsdException w:name="Medium List 1 Accent 6" w:uiPriority="65"/>
    <w:lsdException w:name="Grid Table 4 Accent 3" w:uiPriority="49"/>
    <w:lsdException w:name="Medium Shading 1 Accent 4" w:uiPriority="63"/>
    <w:lsdException w:name="List Table 2 Accent 4" w:uiPriority="47"/>
    <w:lsdException w:name="Medium Shading 1 Accent 3" w:uiPriority="63"/>
    <w:lsdException w:name="Table Subtle 2" w:semiHidden="1" w:unhideWhenUsed="1"/>
    <w:lsdException w:name="Medium List 1 Accent 2" w:uiPriority="65"/>
    <w:lsdException w:name="Light Grid Accent 2" w:uiPriority="62"/>
    <w:lsdException w:name="Dark List Accent 2" w:uiPriority="70"/>
    <w:lsdException w:name="Light Grid" w:uiPriority="62"/>
    <w:lsdException w:name="Grid Table 2" w:uiPriority="47"/>
    <w:lsdException w:name="Smart Link" w:uiPriority="99" w:semiHidden="1" w:unhideWhenUsed="1"/>
    <w:lsdException w:name="Medium Shading 2 Accent 3" w:uiPriority="64"/>
    <w:lsdException w:name="Colorful Grid Accent 1" w:uiPriority="73"/>
    <w:lsdException w:name="Book Title" w:uiPriority="33" w:qFormat="1"/>
    <w:lsdException w:name="Default Paragraph Font" w:uiPriority="1" w:semiHidden="1" w:unhideWhenUsed="1"/>
    <w:lsdException w:name="List Table 7 Colorful Accent 5" w:uiPriority="52"/>
    <w:lsdException w:name="Quote" w:uiPriority="99"/>
    <w:lsdException w:name="Light List Accent 2" w:uiPriority="61"/>
    <w:lsdException w:name="Table Grid 3" w:semiHidden="1" w:unhideWhenUsed="1"/>
    <w:lsdException w:name="Light Shading Accent 5" w:uiPriority="60"/>
    <w:lsdException w:name="Grid Table 7 Colorful Accent 4" w:uiPriority="52"/>
    <w:lsdException w:name="Medium Shading 1 Accent 5" w:uiPriority="63"/>
    <w:lsdException w:name="HTML Code" w:uiPriority="99"/>
    <w:lsdException w:name="Table Simple 1" w:semiHidden="1" w:unhideWhenUsed="1"/>
    <w:lsdException w:name="Table Colorful 2" w:semiHidden="1" w:unhideWhenUsed="1"/>
    <w:lsdException w:name="Table Grid 7" w:semiHidden="1" w:unhideWhenUsed="1"/>
    <w:lsdException w:name="HTML Variable" w:uiPriority="99"/>
    <w:lsdException w:name="Normal Table" w:uiPriority="99" w:semiHidden="1" w:unhideWhenUsed="1"/>
    <w:lsdException w:name="Medium Grid 1 Accent 1" w:uiPriority="67"/>
    <w:lsdException w:name="Medium Grid 1 Accent 2" w:uiPriority="67"/>
    <w:lsdException w:name="Bibliography" w:uiPriority="37" w:semiHidden="1" w:unhideWhenUsed="1"/>
    <w:lsdException w:name="Colorful List Accent 4" w:uiPriority="72"/>
    <w:lsdException w:name="List Table 5 Dark" w:uiPriority="50"/>
    <w:lsdException w:name="Intense Quote" w:uiPriority="99"/>
    <w:lsdException w:name="Light Grid Accent 6" w:uiPriority="62"/>
    <w:lsdException w:name="Table Theme" w:semiHidden="1" w:unhideWhenUsed="1"/>
    <w:lsdException w:name="Table Grid 8" w:semiHidden="1" w:unhideWhenUsed="1"/>
    <w:lsdException w:name="Plain Table 1" w:uiPriority="41"/>
    <w:lsdException w:name="footnote text" w:uiPriority="99" w:semiHidden="1" w:unhideWhenUsed="1"/>
    <w:lsdException w:name="Light Shading Accent 4" w:uiPriority="60"/>
    <w:lsdException w:name="HTML Cite" w:uiPriority="99"/>
    <w:lsdException w:name="Grid Table 5 Dark Accent 4" w:uiPriority="50"/>
    <w:lsdException w:name="Medium List 1 Accent 3" w:uiPriority="65"/>
    <w:lsdException w:name="Light List Accent 4" w:uiPriority="61"/>
    <w:lsdException w:name="heading 3" w:qFormat="1"/>
    <w:lsdException w:name="Table Simple 2" w:semiHidden="1" w:unhideWhenUsed="1"/>
    <w:lsdException w:name="Grid Table 6 Colorful Accent 2" w:uiPriority="51"/>
    <w:lsdException w:name="Grid Table 3 Accent 5" w:uiPriority="48"/>
    <w:lsdException w:name="Medium Shading 2 Accent 4" w:uiPriority="64"/>
    <w:lsdException w:name="Grid Table 5 Dark Accent 1" w:uiPriority="50"/>
    <w:lsdException w:name="Colorful List Accent 5" w:uiPriority="72"/>
    <w:lsdException w:name="Grid Table 1 Light Accent 2" w:uiPriority="46"/>
    <w:lsdException w:name="HTML Acronym" w:uiPriority="99"/>
    <w:lsdException w:name="Colorful List Accent 1" w:uiPriority="72"/>
    <w:lsdException w:name="Light Grid Accent 1" w:uiPriority="62"/>
    <w:lsdException w:name="Colorful Shading Accent 4" w:uiPriority="71"/>
    <w:lsdException w:name="Medium Grid 3 Accent 3" w:uiPriority="69"/>
    <w:lsdException w:name="List Table 1 Light Accent 3" w:uiPriority="46"/>
    <w:lsdException w:name="Grid Table 2 Accent 3" w:uiPriority="47"/>
    <w:lsdException w:name="Grid Table 3 Accent 3" w:uiPriority="48"/>
    <w:lsdException w:name="List Table 4 Accent 3" w:uiPriority="49"/>
    <w:lsdException w:name="Table List 7" w:semiHidden="1" w:unhideWhenUsed="1"/>
    <w:lsdException w:name="TOC Heading" w:uiPriority="39" w:semiHidden="1" w:unhideWhenUsed="1" w:qFormat="1"/>
    <w:lsdException w:name="List Table 4 Accent 2" w:uiPriority="49"/>
    <w:lsdException w:name="Grid Table Light" w:uiPriority="40"/>
    <w:lsdException w:name="Medium List 1 Accent 1" w:uiPriority="65"/>
    <w:lsdException w:name="Strong" w:qFormat="1"/>
    <w:lsdException w:name="List Table 4 Accent 4" w:uiPriority="49"/>
    <w:lsdException w:name="Medium List 1" w:uiPriority="65"/>
    <w:lsdException w:name="Grid Table 4" w:uiPriority="49"/>
    <w:lsdException w:name="Grid Table 5 Dark Accent 5" w:uiPriority="50"/>
    <w:lsdException w:name="Grid Table 1 Light Accent 1" w:uiPriority="46"/>
    <w:lsdException w:name="List Table 2" w:uiPriority="47"/>
    <w:lsdException w:name="toc 9" w:uiPriority="99"/>
    <w:lsdException w:name="Grid Table 6 Colorful Accent 1" w:uiPriority="51"/>
    <w:lsdException w:name="Colorful List Accent 2" w:uiPriority="72"/>
    <w:lsdException w:name="Grid Table 1 Light Accent 3" w:uiPriority="46"/>
    <w:lsdException w:name="List Table 7 Colorful Accent 2" w:uiPriority="52"/>
    <w:lsdException w:name="Table List 5" w:semiHidden="1" w:unhideWhenUsed="1"/>
    <w:lsdException w:name="Light Grid Accent 3" w:uiPriority="62"/>
    <w:lsdException w:name="List Table 3 Accent 4" w:uiPriority="48"/>
    <w:lsdException w:name="Smart Hyperlink" w:uiPriority="99" w:semiHidden="1" w:unhideWhenUsed="1"/>
    <w:lsdException w:name="HTML Top of Form" w:uiPriority="99" w:semiHidden="1" w:unhideWhenUsed="1"/>
    <w:lsdException w:name="heading 1" w:qFormat="1"/>
    <w:lsdException w:name="Plain Table 5" w:uiPriority="45"/>
    <w:lsdException w:name="Colorful Shading Accent 5" w:uiPriority="71"/>
    <w:lsdException w:name="Plain Table 4" w:uiPriority="44"/>
    <w:lsdException w:name="HTML Bottom of Form" w:uiPriority="99" w:semiHidden="1" w:unhideWhenUsed="1"/>
    <w:lsdException w:name="Medium Grid 3 Accent 5" w:uiPriority="69"/>
    <w:lsdException w:name="Dark List Accent 6" w:uiPriority="70"/>
    <w:lsdException w:name="Table Classic 4" w:semiHidden="1" w:unhideWhenUsed="1"/>
    <w:lsdException w:name="Grid Table 3 Accent 2" w:uiPriority="48"/>
    <w:lsdException w:name="Table Subtle 1" w:semiHidden="1" w:unhideWhenUsed="1"/>
    <w:lsdException w:name="Colorful Shading Accent 2" w:uiPriority="71"/>
    <w:lsdException w:name="Grid Table 4 Accent 2" w:uiPriority="49"/>
    <w:lsdException w:name="List Table 5 Dark Accent 3" w:uiPriority="50"/>
    <w:lsdException w:name="toc 2" w:uiPriority="99"/>
    <w:lsdException w:name="Grid Table 1 Light Accent 5" w:uiPriority="46"/>
    <w:lsdException w:name="heading 2" w:qFormat="1"/>
    <w:lsdException w:name="Table List 6" w:semiHidden="1" w:unhideWhenUsed="1"/>
    <w:lsdException w:name="Medium Shading 2 Accent 1" w:uiPriority="64"/>
    <w:lsdException w:name="Medium Grid 2 Accent 4" w:uiPriority="68"/>
    <w:lsdException w:name="Medium Grid 3 Accent 6" w:uiPriority="69"/>
    <w:lsdException w:name="Table List 2" w:semiHidden="1" w:unhideWhenUsed="1"/>
    <w:lsdException w:name="Grid Table 6 Colorful Accent 4" w:uiPriority="51"/>
    <w:lsdException w:name="Table Columns 3" w:semiHidden="1" w:unhideWhenUsed="1"/>
    <w:lsdException w:name="Dark List Accent 3" w:uiPriority="70"/>
    <w:lsdException w:name="Medium Grid 3 Accent 1" w:uiPriority="69"/>
    <w:lsdException w:name="Colorful Shading" w:uiPriority="71"/>
    <w:lsdException w:name="Medium Grid 2 Accent 3" w:uiPriority="68"/>
    <w:lsdException w:name="Table List 4" w:semiHidden="1" w:unhideWhenUsed="1"/>
    <w:lsdException w:name="Table Professional" w:semiHidden="1" w:unhideWhenUsed="1"/>
    <w:lsdException w:name="heading 4" w:qFormat="1"/>
    <w:lsdException w:name="toc 4" w:uiPriority="99"/>
    <w:lsdException w:name="List Table 7 Colorful Accent 6" w:uiPriority="52"/>
    <w:lsdException w:name="Table 3D effects 2" w:semiHidden="1" w:unhideWhenUsed="1"/>
    <w:lsdException w:name="HTML Keyboard" w:uiPriority="99"/>
    <w:lsdException w:name="Table Web 1" w:semiHidden="1" w:unhideWhenUsed="1"/>
    <w:lsdException w:name="Table Columns 1" w:semiHidden="1" w:unhideWhenUsed="1"/>
    <w:lsdException w:name="Colorful Grid Accent 6" w:uiPriority="73"/>
    <w:lsdException w:name="Outline List 3" w:uiPriority="99" w:semiHidden="1" w:unhideWhenUsed="1"/>
  </w:latentStyles>
  <w:style w:type="paragraph" w:styleId="00000f">
    <w:name w:val="footer"/>
    <w:basedOn w:val="000001"/>
    <w:pPr>
      <w:tabs>
        <w:tab w:val="center" w:pos="4153"/>
        <w:tab w:val="right" w:pos="8306"/>
      </w:tabs>
      <w:snapToGrid w:val="0"/>
      <w:jc w:val="center"/>
    </w:pPr>
    <w:rPr>
      <w:sz w:val="18"/>
      <w:szCs w:val="18"/>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3">
    <w:name w:val="heading 2"/>
    <w:basedOn w:val="000001"/>
    <w:next w:val="000001"/>
    <w:qFormat w:val="1"/>
    <w:pPr>
      <w:keepNext w:val="1"/>
      <w:keepLines w:val="1"/>
      <w:outlineLvl w:val="1"/>
    </w:pPr>
    <w:rPr>
      <w:b w:val="1"/>
      <w:sz w:val="32"/>
    </w:rPr>
  </w:style>
  <w:style w:type="character" w:styleId="00000b" w:default="1">
    <w:name w:val="Default Paragraph Font"/>
    <w:uiPriority w:val="1"/>
    <w:semiHidden w:val="1"/>
    <w:unhideWhenUsed w:val="1"/>
  </w:style>
  <w:style w:type="paragraph" w:styleId="000004">
    <w:name w:val="heading 3"/>
    <w:basedOn w:val="000001"/>
    <w:next w:val="000001"/>
    <w:qFormat w:val="1"/>
    <w:pPr>
      <w:keepNext w:val="1"/>
      <w:keepLines w:val="1"/>
      <w:outlineLvl w:val="2"/>
    </w:pPr>
    <w:rPr>
      <w:b w:val="1"/>
      <w:sz w:val="28"/>
    </w:rPr>
  </w:style>
  <w:style w:type="paragraph" w:styleId="00000e">
    <w:name w:val="toc 8"/>
    <w:basedOn w:val="000001"/>
    <w:next w:val="000001"/>
    <w:autoRedefine w:val="1"/>
    <w:uiPriority w:val="99"/>
    <w:pPr>
      <w:ind w:left="2940" w:leftChars="1400"/>
    </w:p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numbering" w:styleId="00000d" w:default="1">
    <w:name w:val="No List"/>
    <w:uiPriority w:val="99"/>
    <w:semiHidden w:val="1"/>
    <w:unhideWhenUsed w:val="1"/>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2">
    <w:name w:val="heading 1"/>
    <w:basedOn w:val="000001"/>
    <w:next w:val="000001"/>
    <w:qFormat w:val="1"/>
    <w:pPr>
      <w:keepNext w:val="1"/>
      <w:keepLines w:val="1"/>
      <w:outlineLvl w:val="0"/>
    </w:pPr>
    <w:rPr>
      <w:b w:val="1"/>
      <w:kern w:val="44"/>
      <w:sz w:val="36"/>
    </w:rPr>
  </w:style>
  <w:style w:type="character" w:styleId="000016">
    <w:name w:val="Hyperlink"/>
    <w:basedOn w:val="00000b"/>
    <w:rPr>
      <w:color w:val="1E6FFF"/>
      <w:u w:val="single"/>
    </w:rPr>
  </w:style>
  <w:style w:type="paragraph" w:styleId="000007">
    <w:name w:val="heading 6"/>
    <w:basedOn w:val="000001"/>
    <w:next w:val="000001"/>
    <w:qFormat w:val="1"/>
    <w:pPr>
      <w:keepNext w:val="1"/>
      <w:keepLines w:val="1"/>
      <w:spacing w:line="480" w:lineRule="auto"/>
      <w:outlineLvl w:val="5"/>
    </w:pPr>
    <w:rPr>
      <w:b w:val="1"/>
    </w:rPr>
  </w:style>
  <w:style w:type="paragraph" w:styleId="000005">
    <w:name w:val="heading 4"/>
    <w:basedOn w:val="000001"/>
    <w:next w:val="000001"/>
    <w:qFormat w:val="1"/>
    <w:pPr>
      <w:keepNext w:val="1"/>
      <w:keepLines w:val="1"/>
      <w:outlineLvl w:val="3"/>
    </w:pPr>
    <w:rPr>
      <w:b w:val="1"/>
      <w:sz w:val="24"/>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6">
    <w:name w:val="heading 5"/>
    <w:basedOn w:val="000001"/>
    <w:next w:val="000001"/>
    <w:qFormat w:val="1"/>
    <w:pPr>
      <w:keepNext w:val="1"/>
      <w:keepLines w:val="1"/>
      <w:spacing w:line="480" w:lineRule="auto"/>
      <w:outlineLvl w:val="4"/>
    </w:pPr>
    <w:rPr>
      <w:b w:val="1"/>
    </w:rPr>
  </w:style>
  <w:style w:type="character" w:styleId="000017" w:customStyle="1">
    <w:name w:val="melo-codeblock-Base-theme-char"/>
    <w:uiPriority w:val="99"/>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1" w:default="1">
    <w:name w:val="Normal"/>
    <w:qFormat w:val="1"/>
    <w:pPr>
      <w:widowControl w:val="0"/>
      <w:spacing w:before="60" w:after="60"/>
      <w:jc w:val="both"/>
    </w:pPr>
    <w:rPr>
      <w:color w:val="333333"/>
      <w:kern w:val="2"/>
      <w:sz w:val="22"/>
      <w:szCs w:val="24"/>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2026-10-01T11:42:13Z</dcterms:created>
  <dcterms:modified xsi:type="dcterms:W3CDTF">2026-10-01T11:42:13Z</dcterms:modified>
</cp:coreProperties>
</file>