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账号体系</w:t>
      </w:r>
    </w:p>
    <w:p>
      <w:r>
        <w:t>账号体系用于承载用户身份认证、登录态管理、账号安全校验和跨端访问控制。</w:t>
      </w:r>
    </w:p>
    <w:p>
      <w:pPr>
        <w:pStyle w:val="Heading2"/>
      </w:pPr>
      <w:r>
        <w:t>登录管理</w:t>
      </w:r>
    </w:p>
    <w:p>
      <w:r>
        <w:t>登录管理负责处理用户进入产品时的身份校验流程，并维护登录态。</w:t>
      </w:r>
    </w:p>
    <w:p>
      <w:pPr>
        <w:pStyle w:val="Heading3"/>
      </w:pPr>
      <w:r>
        <w:t>手机号登录</w:t>
      </w:r>
    </w:p>
    <w:p>
      <w:r>
        <w:t>用户输入手机号后，系统发送短信验证码。验证码校验成功后写入登录态，并绑定当前设备。</w:t>
      </w:r>
    </w:p>
    <w:p>
      <w:r>
        <w:t>短信验证码有效期为五分钟，验证码过期后需要重新发送。连续失败时触发风控策略。</w:t>
      </w:r>
    </w:p>
    <w:p>
      <w:pPr>
        <w:pStyle w:val="Heading2"/>
      </w:pPr>
      <w:r>
        <w:t>账号安全</w:t>
      </w:r>
    </w:p>
    <w:p>
      <w:r>
        <w:t>账号安全用于识别异常登录、设备变更和高风险操作。</w:t>
      </w:r>
    </w:p>
    <w:p>
      <w:pPr>
        <w:pStyle w:val="Heading3"/>
      </w:pPr>
      <w:r>
        <w:t>风控策略</w:t>
      </w:r>
    </w:p>
    <w:p>
      <w:r>
        <w:t>当账号命中风控策略时，系统限制登录请求，并要求用户完成二次验证。</w:t>
      </w:r>
    </w:p>
    <w:p>
      <w:r>
        <w:t>后台记录风险等级、设备指纹、IP地址和验证结果，用于后续审计。</w:t>
      </w:r>
    </w:p>
    <w:p>
      <w:pPr>
        <w:pStyle w:val="Heading1"/>
      </w:pPr>
      <w:r>
        <w:t>消息触达</w:t>
      </w:r>
    </w:p>
    <w:p>
      <w:r>
        <w:t>消息触达用于向用户发送业务提醒、运营通知和安全提醒。</w:t>
      </w:r>
    </w:p>
    <w:p>
      <w:pPr>
        <w:pStyle w:val="Heading2"/>
      </w:pPr>
      <w:r>
        <w:t>PUSH通知</w:t>
      </w:r>
    </w:p>
    <w:p>
      <w:r>
        <w:t>系统根据用户订阅状态和设备在线状态发送PUSH通知。</w:t>
      </w:r>
    </w:p>
    <w:p>
      <w:pPr>
        <w:pStyle w:val="Heading3"/>
      </w:pPr>
      <w:r>
        <w:t>登录提醒通知</w:t>
      </w:r>
    </w:p>
    <w:p>
      <w:r>
        <w:t>账号在新设备登录后，系统向原设备发送PUSH通知，提醒用户确认是否为本人操作。</w:t>
      </w:r>
    </w:p>
    <w:p>
      <w:r>
        <w:t>通知内容包含登录时间、设备型号、地理位置和风险提示。</w:t>
      </w:r>
    </w:p>
    <w:p>
      <w:pPr>
        <w:pStyle w:val="Heading1"/>
      </w:pPr>
      <w:r>
        <w:t>设备与SIM卡</w:t>
      </w:r>
    </w:p>
    <w:p>
      <w:r>
        <w:t>设备与SIM卡能力用于识别设备状态、SIM卡状态和网络环境。</w:t>
      </w:r>
    </w:p>
    <w:p>
      <w:pPr>
        <w:pStyle w:val="Heading2"/>
      </w:pPr>
      <w:r>
        <w:t>SIM卡状态识别</w:t>
      </w:r>
    </w:p>
    <w:p>
      <w:r>
        <w:t>系统读取SIM卡状态，识别无卡、换卡、停机和漫游等状态。</w:t>
      </w:r>
    </w:p>
    <w:p>
      <w:r>
        <w:t>当SIM卡状态异常时，后台标记账号风险，并限制部分敏感操作。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risk_level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sim_status</w:t>
            </w:r>
          </w:p>
        </w:tc>
        <w:tc>
          <w:tcPr>
            <w:tcW w:type="dxa" w:w="2880"/>
          </w:tcPr>
          <w:p>
            <w:r>
              <w:t>SIM卡状态</w:t>
            </w:r>
          </w:p>
        </w:tc>
        <w:tc>
          <w:tcPr>
            <w:tcW w:type="dxa" w:w="2880"/>
          </w:tcPr>
          <w:p>
            <w:r>
              <w:t>changed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