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测试语料总说明与使用建议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vAlign w:val="center"/>
            <w:shd w:fill="EAF2F8"/>
          </w:tcPr>
          <w:p>
            <w:pPr>
              <w:spacing w:before="40" w:after="40"/>
            </w:pPr>
            <w:r>
              <w:rPr>
                <w:b/>
                <w:sz w:val="20"/>
              </w:rPr>
              <w:t>交付清单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第一组_完全合规投标样本包；第二组_抄袭检测样本包；第三组_恶意围标检测样本包</w:t>
            </w:r>
          </w:p>
        </w:tc>
      </w:tr>
      <w:tr>
        <w:tc>
          <w:tcPr>
            <w:tcW w:type="dxa" w:w="2381"/>
            <w:vAlign w:val="center"/>
            <w:shd w:fill="EAF2F8"/>
          </w:tcPr>
          <w:p>
            <w:pPr>
              <w:spacing w:before="40" w:after="40"/>
            </w:pPr>
            <w:r>
              <w:rPr>
                <w:b/>
                <w:sz w:val="20"/>
              </w:rPr>
              <w:t>适用任务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二分类/三分类；相似度排序；风险检索；特征抽取；RAG 召回验证</w:t>
            </w:r>
          </w:p>
        </w:tc>
      </w:tr>
      <w:tr>
        <w:tc>
          <w:tcPr>
            <w:tcW w:type="dxa" w:w="2381"/>
            <w:vAlign w:val="center"/>
            <w:shd w:fill="EAF2F8"/>
          </w:tcPr>
          <w:p>
            <w:pPr>
              <w:spacing w:before="40" w:after="40"/>
            </w:pPr>
            <w:r>
              <w:rPr>
                <w:b/>
                <w:sz w:val="20"/>
              </w:rPr>
              <w:t>重要提示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第二组和第三组为检测用途样本，不应作为真实投标材料使用</w:t>
            </w:r>
          </w:p>
        </w:tc>
      </w:tr>
    </w:tbl>
    <w:p/>
    <w:p>
      <w:pPr>
        <w:pStyle w:val="Heading1"/>
      </w:pPr>
      <w:r>
        <w:t>建议标注方式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文档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主标签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可附加标签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第一组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compliant_independent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diverse_pricing / distinct_team / independent_wording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第二组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plagiarized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same_structure / same_error / paraphrase_only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第三组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collusive_bidding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coordinated_pricing / sham_competition / shared_contact</w:t>
            </w:r>
          </w:p>
        </w:tc>
      </w:tr>
    </w:tbl>
    <w:p/>
    <w:p>
      <w:pPr>
        <w:pStyle w:val="Heading1"/>
      </w:pPr>
      <w:r>
        <w:t>建模建议</w:t>
      </w:r>
    </w:p>
    <w:p>
      <w:pPr>
        <w:pStyle w:val="ListBullet"/>
        <w:spacing w:after="60"/>
      </w:pPr>
      <w:r>
        <w:t>文本侧：句向量、n-gram、编辑距离、章节树相似度联合使用。</w:t>
      </w:r>
    </w:p>
    <w:p>
      <w:pPr>
        <w:pStyle w:val="ListBullet"/>
        <w:spacing w:after="60"/>
      </w:pPr>
      <w:r>
        <w:t>结构侧：目录层级、表格字段、页眉页脚、联系人和团队字段单独抽取。</w:t>
      </w:r>
    </w:p>
    <w:p>
      <w:pPr>
        <w:pStyle w:val="ListBullet"/>
        <w:spacing w:after="60"/>
      </w:pPr>
      <w:r>
        <w:t>数值侧：总价差、分项差、比例结构、异常等差/等比模式。</w:t>
      </w:r>
    </w:p>
    <w:p>
      <w:pPr>
        <w:pStyle w:val="ListBullet"/>
        <w:spacing w:after="60"/>
      </w:pPr>
      <w:r>
        <w:t>证据输出：不要只给标签，最好返回命中的片段、字段和可解释原因。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第 </w:t>
    </w:r>
    <w:r>
      <w:fldChar w:fldCharType="begin"/>
      <w:instrText xml:space="preserve"> PAGE </w:instrText>
      <w:fldChar w:fldCharType="end"/>
    </w:r>
    <w:r>
      <w:rPr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7"/>
      </w:rPr>
      <w:t>测试语料 | 招投标文本分析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646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Arial" w:hAnsi="Arial" w:eastAsia="Microsoft YaHei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