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第一组：完全合规投标样本包</w:t>
      </w:r>
    </w:p>
    <w:p>
      <w:pPr>
        <w:jc w:val="center"/>
      </w:pPr>
      <w:r>
        <w:rPr>
          <w:i/>
          <w:color w:val="5A5A5A"/>
          <w:sz w:val="20"/>
        </w:rPr>
        <w:t>用于训练“合规/独立编制”类别；所有公司、人员、项目均为虚构测试数据</w:t>
      </w:r>
    </w:p>
    <w:p>
      <w:pPr>
        <w:spacing w:before="120" w:after="120"/>
      </w:pPr>
      <w:r>
        <w:rPr>
          <w:b/>
          <w:color w:val="800000"/>
          <w:sz w:val="19"/>
        </w:rPr>
        <w:t>说明：本文件包含 3 份彼此独立、结构充分区分的合规投标样本摘要版。它们展示不同企业规模、技术路线、项目组织方式与报价逻辑。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样本数量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3 份独立样本（C1 / C2 / C3）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推荐标签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compliant_independent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训练建议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结合版式、措辞、人员、联系人、价格结构与技术方案差异进行多模态/多特征训练</w:t>
            </w:r>
          </w:p>
        </w:tc>
      </w:tr>
    </w:tbl>
    <w:p/>
    <w:p>
      <w:pPr>
        <w:pStyle w:val="Heading1"/>
      </w:pPr>
      <w:r>
        <w:t>1. 样本 C1：星澜数据科技有限公司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企业画像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中型集成商，侧重数据治理平台与主数据建设。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技术路线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采用“标准平台 + 少量定制开发”路线，强调接口治理、数据目录和质量规则。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核心团队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项目经理陈越、数据架构师高宁、实施顾问梁宸、测试经理吴双。</w:t>
            </w:r>
          </w:p>
        </w:tc>
      </w:tr>
    </w:tbl>
    <w:p/>
    <w:p>
      <w:pPr>
        <w:pStyle w:val="Heading2"/>
      </w:pPr>
      <w:r>
        <w:t>响应特点</w:t>
      </w:r>
    </w:p>
    <w:p>
      <w:pPr>
        <w:pStyle w:val="ListBullet"/>
        <w:spacing w:after="60"/>
      </w:pPr>
      <w:r>
        <w:t>驻场 2 人，远程支持 5×8，重大故障 2 小时到场。</w:t>
      </w:r>
    </w:p>
    <w:p>
      <w:pPr>
        <w:pStyle w:val="ListBullet"/>
        <w:spacing w:after="60"/>
      </w:pPr>
      <w:r>
        <w:t>优先采用现有组件复用，控制二次开发比例不高于 18%。</w:t>
      </w:r>
    </w:p>
    <w:p>
      <w:pPr>
        <w:pStyle w:val="ListBullet"/>
        <w:spacing w:after="60"/>
      </w:pPr>
      <w:r>
        <w:t>上线后提供 90 天稳定运行支持。</w:t>
      </w:r>
    </w:p>
    <w:p>
      <w:pPr>
        <w:spacing w:before="120" w:after="80"/>
      </w:pPr>
      <w:r>
        <w:rPr>
          <w:b/>
          <w:color w:val="1F4E79"/>
        </w:rPr>
        <w:t>报价结构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报价项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软件平台许可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1,920,000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实施与集成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1,160,000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培训与试运行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180,000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三年维保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360,000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税费及其他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144,000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总价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3,764,000</w:t>
            </w:r>
          </w:p>
        </w:tc>
      </w:tr>
    </w:tbl>
    <w:p/>
    <w:p>
      <w:pPr>
        <w:spacing w:before="120" w:after="80"/>
      </w:pPr>
      <w:r>
        <w:rPr>
          <w:b/>
          <w:color w:val="1F4E79"/>
        </w:rPr>
        <w:t>实施风险与应对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风险点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控制措施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历史数据口径不一致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先做主数据映射与口径冻结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接口系统多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建立接口分批接入清单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用户分层差异大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按角色设计培训课件</w:t>
            </w:r>
          </w:p>
        </w:tc>
      </w:tr>
    </w:tbl>
    <w:p/>
    <w:p>
      <w:pPr>
        <w:pStyle w:val="Heading2"/>
      </w:pPr>
      <w:r>
        <w:t>独立性说明</w:t>
      </w:r>
    </w:p>
    <w:p>
      <w:r>
        <w:t>该样本与同组其他样本在企业名称、技术路线、角色构成、服务承诺、价格结构与措辞风格上保持明显差异，适合作为“独立编制、实质响应”的正样本。</w:t>
      </w:r>
    </w:p>
    <w:p>
      <w:pPr>
        <w:pStyle w:val="Heading1"/>
      </w:pPr>
      <w:r>
        <w:t>2. 样本 C2：沐川云智软件股份有限公司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企业画像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产品型厂商，偏 SaaS 化能力输出与轻咨询。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技术路线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采用“低代码工作台 + 流程编排 + 报表工厂”路线，强调上线速度与后续易维护。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核心团队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项目总监赵航、产品顾问李添、交付经理冯岚、运维工程师许哲。</w:t>
            </w:r>
          </w:p>
        </w:tc>
      </w:tr>
    </w:tbl>
    <w:p/>
    <w:p>
      <w:pPr>
        <w:pStyle w:val="Heading2"/>
      </w:pPr>
      <w:r>
        <w:t>响应特点</w:t>
      </w:r>
    </w:p>
    <w:p>
      <w:pPr>
        <w:pStyle w:val="ListBullet"/>
        <w:spacing w:after="60"/>
      </w:pPr>
      <w:r>
        <w:t>首批功能 10 周上线，分两批验收。</w:t>
      </w:r>
    </w:p>
    <w:p>
      <w:pPr>
        <w:pStyle w:val="ListBullet"/>
        <w:spacing w:after="60"/>
      </w:pPr>
      <w:r>
        <w:t>业务变更通过配置优先解决，避免深度改造。</w:t>
      </w:r>
    </w:p>
    <w:p>
      <w:pPr>
        <w:pStyle w:val="ListBullet"/>
        <w:spacing w:after="60"/>
      </w:pPr>
      <w:r>
        <w:t>提供按周版本发布与回归测试报告。</w:t>
      </w:r>
    </w:p>
    <w:p>
      <w:pPr>
        <w:spacing w:before="120" w:after="80"/>
      </w:pPr>
      <w:r>
        <w:rPr>
          <w:b/>
          <w:color w:val="1F4E79"/>
        </w:rPr>
        <w:t>报价结构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报价项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订阅许可（36个月）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2,280,000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项目实施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820,000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数据迁移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260,000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安全加固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130,000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培训与知识转移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110,000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总价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3,600,000</w:t>
            </w:r>
          </w:p>
        </w:tc>
      </w:tr>
    </w:tbl>
    <w:p/>
    <w:p>
      <w:pPr>
        <w:spacing w:before="120" w:after="80"/>
      </w:pPr>
      <w:r>
        <w:rPr>
          <w:b/>
          <w:color w:val="1F4E79"/>
        </w:rPr>
        <w:t>实施风险与应对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风险点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控制措施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用户期望扩散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需求基线评审与冻结机制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旧系统脚本质量不稳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设置迁移演练与回滚窗口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多部门排期冲突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采用双周例会和里程碑签收</w:t>
            </w:r>
          </w:p>
        </w:tc>
      </w:tr>
    </w:tbl>
    <w:p/>
    <w:p>
      <w:pPr>
        <w:pStyle w:val="Heading2"/>
      </w:pPr>
      <w:r>
        <w:t>独立性说明</w:t>
      </w:r>
    </w:p>
    <w:p>
      <w:r>
        <w:t>该样本与同组其他样本在企业名称、技术路线、角色构成、服务承诺、价格结构与措辞风格上保持明显差异，适合作为“独立编制、实质响应”的正样本。</w:t>
      </w:r>
    </w:p>
    <w:p>
      <w:pPr>
        <w:pStyle w:val="Heading1"/>
      </w:pPr>
      <w:r>
        <w:t>3. 样本 C3：拓岭信息系统工程有限公司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企业画像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偏工程交付，擅长本地化部署、信创适配和多厂商联调。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技术路线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采用“本地部署 + 双活容灾 + 定制报表”路线，强调安全边界、专网接入与审计留痕。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核心团队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项目经理周晋、系统架构师孟识、数据库工程师田璟、安全工程师柯凡。</w:t>
            </w:r>
          </w:p>
        </w:tc>
      </w:tr>
    </w:tbl>
    <w:p/>
    <w:p>
      <w:pPr>
        <w:pStyle w:val="Heading2"/>
      </w:pPr>
      <w:r>
        <w:t>响应特点</w:t>
      </w:r>
    </w:p>
    <w:p>
      <w:pPr>
        <w:pStyle w:val="ListBullet"/>
        <w:spacing w:after="60"/>
      </w:pPr>
      <w:r>
        <w:t>关键模块采用双机热备；容灾切换演练每半年一次。</w:t>
      </w:r>
    </w:p>
    <w:p>
      <w:pPr>
        <w:pStyle w:val="ListBullet"/>
        <w:spacing w:after="60"/>
      </w:pPr>
      <w:r>
        <w:t>现场支持 7×12，节假日值守另行编排。</w:t>
      </w:r>
    </w:p>
    <w:p>
      <w:pPr>
        <w:pStyle w:val="ListBullet"/>
        <w:spacing w:after="60"/>
      </w:pPr>
      <w:r>
        <w:t>提供完整信创兼容性清单与验收记录。</w:t>
      </w:r>
    </w:p>
    <w:p>
      <w:pPr>
        <w:spacing w:before="120" w:after="80"/>
      </w:pPr>
      <w:r>
        <w:rPr>
          <w:b/>
          <w:color w:val="1F4E79"/>
        </w:rPr>
        <w:t>报价结构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报价项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基础平台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1,680,000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定制开发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980,000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信创适配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320,000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部署实施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460,000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维保服务（3年）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420,000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总价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3,860,000</w:t>
            </w:r>
          </w:p>
        </w:tc>
      </w:tr>
    </w:tbl>
    <w:p/>
    <w:p>
      <w:pPr>
        <w:spacing w:before="120" w:after="80"/>
      </w:pPr>
      <w:r>
        <w:rPr>
          <w:b/>
          <w:color w:val="1F4E79"/>
        </w:rPr>
        <w:t>实施风险与应对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风险点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控制措施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国产中间件兼容性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预搭环境并做适配基线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并发高峰不确定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压测后按节点平滑扩容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专网变更流程长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设置提前审批日历</w:t>
            </w:r>
          </w:p>
        </w:tc>
      </w:tr>
    </w:tbl>
    <w:p/>
    <w:p>
      <w:pPr>
        <w:pStyle w:val="Heading2"/>
      </w:pPr>
      <w:r>
        <w:t>独立性说明</w:t>
      </w:r>
    </w:p>
    <w:p>
      <w:r>
        <w:t>该样本与同组其他样本在企业名称、技术路线、角色构成、服务承诺、价格结构与措辞风格上保持明显差异，适合作为“独立编制、实质响应”的正样本。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7"/>
      </w:rPr>
      <w:t>测试语料 | 招投标文本分析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rial" w:hAnsi="Arial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