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第二组：抄袭检测样本包</w:t>
      </w:r>
    </w:p>
    <w:p>
      <w:pPr>
        <w:jc w:val="center"/>
      </w:pPr>
      <w:r>
        <w:rPr>
          <w:i/>
          <w:color w:val="5A5A5A"/>
          <w:sz w:val="20"/>
        </w:rPr>
        <w:t>用于训练“文本抄袭/借鉴过度/实质性相似”类别；为防滥用，仅提供对照片段，不提供可直接投标的完整成品</w:t>
      </w:r>
    </w:p>
    <w:p>
      <w:pPr>
        <w:spacing w:before="120" w:after="120"/>
      </w:pPr>
      <w:r>
        <w:rPr>
          <w:b/>
          <w:color w:val="800000"/>
          <w:sz w:val="19"/>
        </w:rPr>
        <w:t>说明：以下样本围绕“来源文本”与“疑似抄袭文本”进行并排对照。核心目标是暴露相似句法、相同错误、同序号结构、同案例叙述、同表格骨架等特征。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381"/>
            <w:vAlign w:val="center"/>
            <w:shd w:fill="EAF2F8"/>
          </w:tcPr>
          <w:p>
            <w:pPr>
              <w:spacing w:before="40" w:after="40"/>
            </w:pPr>
            <w:r>
              <w:rPr>
                <w:b/>
                <w:sz w:val="20"/>
              </w:rPr>
              <w:t>样本形式</w:t>
            </w:r>
          </w:p>
        </w:tc>
        <w:tc>
          <w:tcPr>
            <w:tcW w:type="dxa" w:w="669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6 组对照片段 + 1 张特征矩阵</w:t>
            </w:r>
          </w:p>
        </w:tc>
      </w:tr>
      <w:tr>
        <w:tc>
          <w:tcPr>
            <w:tcW w:type="dxa" w:w="2381"/>
            <w:vAlign w:val="center"/>
            <w:shd w:fill="EAF2F8"/>
          </w:tcPr>
          <w:p>
            <w:pPr>
              <w:spacing w:before="40" w:after="40"/>
            </w:pPr>
            <w:r>
              <w:rPr>
                <w:b/>
                <w:sz w:val="20"/>
              </w:rPr>
              <w:t>推荐标签</w:t>
            </w:r>
          </w:p>
        </w:tc>
        <w:tc>
          <w:tcPr>
            <w:tcW w:type="dxa" w:w="669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plagiarized / substantial_similarity</w:t>
            </w:r>
          </w:p>
        </w:tc>
      </w:tr>
      <w:tr>
        <w:tc>
          <w:tcPr>
            <w:tcW w:type="dxa" w:w="2381"/>
            <w:vAlign w:val="center"/>
            <w:shd w:fill="EAF2F8"/>
          </w:tcPr>
          <w:p>
            <w:pPr>
              <w:spacing w:before="40" w:after="40"/>
            </w:pPr>
            <w:r>
              <w:rPr>
                <w:b/>
                <w:sz w:val="20"/>
              </w:rPr>
              <w:t>限制</w:t>
            </w:r>
          </w:p>
        </w:tc>
        <w:tc>
          <w:tcPr>
            <w:tcW w:type="dxa" w:w="669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已去除真实项目、真实客户、真实联系人、可直接提交的完整商务要件</w:t>
            </w:r>
          </w:p>
        </w:tc>
      </w:tr>
    </w:tbl>
    <w:p/>
    <w:p>
      <w:pPr>
        <w:pStyle w:val="Heading1"/>
      </w:pPr>
      <w:r>
        <w:t>P1 技术方案总述</w:t>
      </w:r>
    </w:p>
    <w:p>
      <w:pPr>
        <w:spacing w:before="120" w:after="80"/>
      </w:pPr>
      <w:r>
        <w:rPr>
          <w:b/>
          <w:color w:val="1F4E79"/>
        </w:rPr>
        <w:t>对照片段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154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type="dxa" w:w="6236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内容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来源文本</w:t>
            </w:r>
          </w:p>
        </w:tc>
        <w:tc>
          <w:tcPr>
            <w:tcW w:type="dxa" w:w="6236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来源文本：本项目建设以“统一门户、统一流程、统一数据口径”为目标，围绕采购申请、合同归档、付款计划三个环节形成闭环管理。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疑似抄袭文本</w:t>
            </w:r>
          </w:p>
        </w:tc>
        <w:tc>
          <w:tcPr>
            <w:tcW w:type="dxa" w:w="6236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疑似抄袭：本次建设遵循“统一门户、统一流程、统一数据口径”的目标，围绕采购申请、合同归档、付款计划三个环节形成完整闭环。</w:t>
            </w:r>
          </w:p>
        </w:tc>
      </w:tr>
    </w:tbl>
    <w:p/>
    <w:p>
      <w:pPr>
        <w:pStyle w:val="Heading2"/>
      </w:pPr>
      <w:r>
        <w:t>可判定线索</w:t>
      </w:r>
    </w:p>
    <w:p>
      <w:pPr>
        <w:pStyle w:val="ListBullet"/>
        <w:spacing w:after="60"/>
      </w:pPr>
      <w:r>
        <w:t>三连并列短语完全一致</w:t>
      </w:r>
    </w:p>
    <w:p>
      <w:pPr>
        <w:pStyle w:val="ListBullet"/>
        <w:spacing w:after="60"/>
      </w:pPr>
      <w:r>
        <w:t>业务环节顺序未变</w:t>
      </w:r>
    </w:p>
    <w:p>
      <w:pPr>
        <w:pStyle w:val="ListBullet"/>
        <w:spacing w:after="60"/>
      </w:pPr>
      <w:r>
        <w:t>仅做近义词替换：完整/管理</w:t>
      </w:r>
    </w:p>
    <w:p>
      <w:pPr>
        <w:pStyle w:val="Heading1"/>
      </w:pPr>
      <w:r>
        <w:t>P2 实施方法论</w:t>
      </w:r>
    </w:p>
    <w:p>
      <w:pPr>
        <w:spacing w:before="120" w:after="80"/>
      </w:pPr>
      <w:r>
        <w:rPr>
          <w:b/>
          <w:color w:val="1F4E79"/>
        </w:rPr>
        <w:t>对照片段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154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type="dxa" w:w="6236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内容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来源文本</w:t>
            </w:r>
          </w:p>
        </w:tc>
        <w:tc>
          <w:tcPr>
            <w:tcW w:type="dxa" w:w="6236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来源文本：项目实施分为调研诊断、蓝图设计、开发配置、联调测试、试运行五个阶段，各阶段均设置阶段评审与签字确认。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疑似抄袭文本</w:t>
            </w:r>
          </w:p>
        </w:tc>
        <w:tc>
          <w:tcPr>
            <w:tcW w:type="dxa" w:w="6236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疑似抄袭：项目交付划分为调研诊断、蓝图设计、开发配置、联调测试、试运行五个阶段，并在每个阶段设置评审及签字确认。</w:t>
            </w:r>
          </w:p>
        </w:tc>
      </w:tr>
    </w:tbl>
    <w:p/>
    <w:p>
      <w:pPr>
        <w:pStyle w:val="Heading2"/>
      </w:pPr>
      <w:r>
        <w:t>可判定线索</w:t>
      </w:r>
    </w:p>
    <w:p>
      <w:pPr>
        <w:pStyle w:val="ListBullet"/>
        <w:spacing w:after="60"/>
      </w:pPr>
      <w:r>
        <w:t>阶段名称与顺序完全一致</w:t>
      </w:r>
    </w:p>
    <w:p>
      <w:pPr>
        <w:pStyle w:val="ListBullet"/>
        <w:spacing w:after="60"/>
      </w:pPr>
      <w:r>
        <w:t>句法骨架保留</w:t>
      </w:r>
    </w:p>
    <w:p>
      <w:pPr>
        <w:pStyle w:val="ListBullet"/>
        <w:spacing w:after="60"/>
      </w:pPr>
      <w:r>
        <w:t>连接词替换不改变表达核心</w:t>
      </w:r>
    </w:p>
    <w:p>
      <w:pPr>
        <w:pStyle w:val="Heading1"/>
      </w:pPr>
      <w:r>
        <w:t>P3 服务承诺</w:t>
      </w:r>
    </w:p>
    <w:p>
      <w:pPr>
        <w:spacing w:before="120" w:after="80"/>
      </w:pPr>
      <w:r>
        <w:rPr>
          <w:b/>
          <w:color w:val="1F4E79"/>
        </w:rPr>
        <w:t>对照片段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154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type="dxa" w:w="6236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内容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来源文本</w:t>
            </w:r>
          </w:p>
        </w:tc>
        <w:tc>
          <w:tcPr>
            <w:tcW w:type="dxa" w:w="6236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来源文本：一般问题 4 小时响应，重大问题 2 小时到场，疑难问题由二线专家在 24 小时内给出处置方案。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疑似抄袭文本</w:t>
            </w:r>
          </w:p>
        </w:tc>
        <w:tc>
          <w:tcPr>
            <w:tcW w:type="dxa" w:w="6236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疑似抄袭：普通问题 4 小时响应，重大问题 2 小时到场，复杂问题由二线专家 24 小时内给出处置方案。</w:t>
            </w:r>
          </w:p>
        </w:tc>
      </w:tr>
    </w:tbl>
    <w:p/>
    <w:p>
      <w:pPr>
        <w:pStyle w:val="Heading2"/>
      </w:pPr>
      <w:r>
        <w:t>可判定线索</w:t>
      </w:r>
    </w:p>
    <w:p>
      <w:pPr>
        <w:pStyle w:val="ListBullet"/>
        <w:spacing w:after="60"/>
      </w:pPr>
      <w:r>
        <w:t>时间阈值全同</w:t>
      </w:r>
    </w:p>
    <w:p>
      <w:pPr>
        <w:pStyle w:val="ListBullet"/>
        <w:spacing w:after="60"/>
      </w:pPr>
      <w:r>
        <w:t>问题分级结构全同</w:t>
      </w:r>
    </w:p>
    <w:p>
      <w:pPr>
        <w:pStyle w:val="ListBullet"/>
        <w:spacing w:after="60"/>
      </w:pPr>
      <w:r>
        <w:t>只是名词替换：一般/普通、疑难/复杂</w:t>
      </w:r>
    </w:p>
    <w:p>
      <w:pPr>
        <w:pStyle w:val="Heading1"/>
      </w:pPr>
      <w:r>
        <w:t>P4 风险表</w:t>
      </w:r>
    </w:p>
    <w:p>
      <w:pPr>
        <w:spacing w:before="120" w:after="80"/>
      </w:pPr>
      <w:r>
        <w:rPr>
          <w:b/>
          <w:color w:val="1F4E79"/>
        </w:rPr>
        <w:t>对照片段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154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type="dxa" w:w="6236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内容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来源文本</w:t>
            </w:r>
          </w:p>
        </w:tc>
        <w:tc>
          <w:tcPr>
            <w:tcW w:type="dxa" w:w="6236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来源文本：风险项：主数据口径不统一；影响：报表口径差异；应对：先完成数据字典冻结。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疑似抄袭文本</w:t>
            </w:r>
          </w:p>
        </w:tc>
        <w:tc>
          <w:tcPr>
            <w:tcW w:type="dxa" w:w="6236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疑似抄袭：风险项：主数据口径不统一；影响：报表口径偏差；应对：优先完成数据字典冻结。</w:t>
            </w:r>
          </w:p>
        </w:tc>
      </w:tr>
    </w:tbl>
    <w:p/>
    <w:p>
      <w:pPr>
        <w:pStyle w:val="Heading2"/>
      </w:pPr>
      <w:r>
        <w:t>可判定线索</w:t>
      </w:r>
    </w:p>
    <w:p>
      <w:pPr>
        <w:pStyle w:val="ListBullet"/>
        <w:spacing w:after="60"/>
      </w:pPr>
      <w:r>
        <w:t>表格字段名完全相同</w:t>
      </w:r>
    </w:p>
    <w:p>
      <w:pPr>
        <w:pStyle w:val="ListBullet"/>
        <w:spacing w:after="60"/>
      </w:pPr>
      <w:r>
        <w:t>风险项一字未改</w:t>
      </w:r>
    </w:p>
    <w:p>
      <w:pPr>
        <w:pStyle w:val="ListBullet"/>
        <w:spacing w:after="60"/>
      </w:pPr>
      <w:r>
        <w:t>控制措施仅添加副词“优先”</w:t>
      </w:r>
    </w:p>
    <w:p>
      <w:pPr>
        <w:pStyle w:val="Heading1"/>
      </w:pPr>
      <w:r>
        <w:t>P5 错误复现</w:t>
      </w:r>
    </w:p>
    <w:p>
      <w:pPr>
        <w:spacing w:before="120" w:after="80"/>
      </w:pPr>
      <w:r>
        <w:rPr>
          <w:b/>
          <w:color w:val="1F4E79"/>
        </w:rPr>
        <w:t>对照片段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154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type="dxa" w:w="6236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内容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来源文本</w:t>
            </w:r>
          </w:p>
        </w:tc>
        <w:tc>
          <w:tcPr>
            <w:tcW w:type="dxa" w:w="6236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来源文本：通过“应急响映”机制确保系统在突发故障时快速处置。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疑似抄袭文本</w:t>
            </w:r>
          </w:p>
        </w:tc>
        <w:tc>
          <w:tcPr>
            <w:tcW w:type="dxa" w:w="6236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疑似抄袭：通过“应急响映”机制保障系统在突发故障时迅速处置。</w:t>
            </w:r>
          </w:p>
        </w:tc>
      </w:tr>
    </w:tbl>
    <w:p/>
    <w:p>
      <w:pPr>
        <w:pStyle w:val="Heading2"/>
      </w:pPr>
      <w:r>
        <w:t>可判定线索</w:t>
      </w:r>
    </w:p>
    <w:p>
      <w:pPr>
        <w:pStyle w:val="ListBullet"/>
        <w:spacing w:after="60"/>
      </w:pPr>
      <w:r>
        <w:t>罕见错别字完全一致</w:t>
      </w:r>
    </w:p>
    <w:p>
      <w:pPr>
        <w:pStyle w:val="ListBullet"/>
        <w:spacing w:after="60"/>
      </w:pPr>
      <w:r>
        <w:t>语义表达高度重叠</w:t>
      </w:r>
    </w:p>
    <w:p>
      <w:pPr>
        <w:pStyle w:val="Heading1"/>
      </w:pPr>
      <w:r>
        <w:t>P6 案例描述</w:t>
      </w:r>
    </w:p>
    <w:p>
      <w:pPr>
        <w:spacing w:before="120" w:after="80"/>
      </w:pPr>
      <w:r>
        <w:rPr>
          <w:b/>
          <w:color w:val="1F4E79"/>
        </w:rPr>
        <w:t>对照片段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154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type="dxa" w:w="6236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内容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来源文本</w:t>
            </w:r>
          </w:p>
        </w:tc>
        <w:tc>
          <w:tcPr>
            <w:tcW w:type="dxa" w:w="6236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来源文本：我方曾为某制造集团建设供应商协同平台，实现 8 家工厂、600 余家供应商在线协同。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疑似抄袭文本</w:t>
            </w:r>
          </w:p>
        </w:tc>
        <w:tc>
          <w:tcPr>
            <w:tcW w:type="dxa" w:w="6236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疑似抄袭：我司曾为某制造集团建设供应商协同平台，覆盖 8 家工厂与 600 余家供应商在线协同。</w:t>
            </w:r>
          </w:p>
        </w:tc>
      </w:tr>
    </w:tbl>
    <w:p/>
    <w:p>
      <w:pPr>
        <w:pStyle w:val="Heading2"/>
      </w:pPr>
      <w:r>
        <w:t>可判定线索</w:t>
      </w:r>
    </w:p>
    <w:p>
      <w:pPr>
        <w:pStyle w:val="ListBullet"/>
        <w:spacing w:after="60"/>
      </w:pPr>
      <w:r>
        <w:t>客户类型、数量、成果完全一致</w:t>
      </w:r>
    </w:p>
    <w:p>
      <w:pPr>
        <w:pStyle w:val="ListBullet"/>
        <w:spacing w:after="60"/>
      </w:pPr>
      <w:r>
        <w:t>替换“实现/覆盖”不构成独立创作</w:t>
      </w:r>
    </w:p>
    <w:p>
      <w:pPr>
        <w:pStyle w:val="Heading1"/>
      </w:pPr>
      <w:r>
        <w:t>抄袭识别特征矩阵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814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特征维度</w:t>
            </w:r>
          </w:p>
        </w:tc>
        <w:tc>
          <w:tcPr>
            <w:tcW w:type="dxa" w:w="3515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典型表现</w:t>
            </w:r>
          </w:p>
        </w:tc>
        <w:tc>
          <w:tcPr>
            <w:tcW w:type="dxa" w:w="2891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训练提示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短语复用</w:t>
            </w:r>
          </w:p>
        </w:tc>
        <w:tc>
          <w:tcPr>
            <w:tcW w:type="dxa" w:w="3515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固定三元并列、行业套话整段照搬</w:t>
            </w:r>
          </w:p>
        </w:tc>
        <w:tc>
          <w:tcPr>
            <w:tcW w:type="dxa" w:w="2891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可做 n-gram 与句向量联合特征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结构同构</w:t>
            </w:r>
          </w:p>
        </w:tc>
        <w:tc>
          <w:tcPr>
            <w:tcW w:type="dxa" w:w="3515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章节顺序、表格字段、序号体系一致</w:t>
            </w:r>
          </w:p>
        </w:tc>
        <w:tc>
          <w:tcPr>
            <w:tcW w:type="dxa" w:w="2891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适合文档树结构比对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错误共现</w:t>
            </w:r>
          </w:p>
        </w:tc>
        <w:tc>
          <w:tcPr>
            <w:tcW w:type="dxa" w:w="3515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错别字、标点瑕疵、口癖表达同步出现</w:t>
            </w:r>
          </w:p>
        </w:tc>
        <w:tc>
          <w:tcPr>
            <w:tcW w:type="dxa" w:w="2891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属于高权重异常特征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数字复用</w:t>
            </w:r>
          </w:p>
        </w:tc>
        <w:tc>
          <w:tcPr>
            <w:tcW w:type="dxa" w:w="351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案例数量、服务时限、里程碑天数完全一致</w:t>
            </w:r>
          </w:p>
        </w:tc>
        <w:tc>
          <w:tcPr>
            <w:tcW w:type="dxa" w:w="2891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可设规则引擎辅助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轻度改写</w:t>
            </w:r>
          </w:p>
        </w:tc>
        <w:tc>
          <w:tcPr>
            <w:tcW w:type="dxa" w:w="3515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同义替换、语序微调、增删虚词</w:t>
            </w:r>
          </w:p>
        </w:tc>
        <w:tc>
          <w:tcPr>
            <w:tcW w:type="dxa" w:w="2891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适合编辑距离 + 语义相似混合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247" w:right="1247" w:bottom="1134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第 </w:t>
    </w:r>
    <w:r>
      <w:fldChar w:fldCharType="begin"/>
      <w:instrText xml:space="preserve"> PAGE </w:instrText>
      <w:fldChar w:fldCharType="end"/>
    </w:r>
    <w:r>
      <w:rPr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5A5A"/>
        <w:sz w:val="17"/>
      </w:rPr>
      <w:t>测试语料 | 招投标文本分析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37373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6464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Note"/>
    <w:rPr>
      <w:rFonts w:ascii="Arial" w:hAnsi="Arial" w:eastAsia="Microsoft YaHei"/>
      <w:color w:val="5A5A5A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