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 标准 600302 公开尽调资料汇编</w:t>
      </w:r>
    </w:p>
    <w:p>
      <w:r>
        <w:t>实验重建输入。依据本会话AI所述文件身份和内容要素重新编写；不是原附件，不作为真实人物、企业、政策或研究结果的认证。</w:t>
      </w:r>
    </w:p>
    <w:p>
      <w:r>
        <w:t>主体：西安标准工业股份有限公司，上交所证券代码600302。资料对象身份来自会话中附件描述，状态应查询公开公告核实。</w:t>
      </w:r>
    </w:p>
    <w:p>
      <w:r>
        <w:t>历史背景线索：上海惠工缝纫机厂前身，2000年上市，注册地西安。控股层级线索：中国标准工业集团、西安工投、西安市国资委。</w:t>
      </w:r>
    </w:p>
    <w:p>
      <w:r>
        <w:t>实验数值资料：控股集团持股42.77%，2025年度营业收入3.37亿元、归母净利润-1.44亿元，货币资金与理财2.63亿元；2026Q1营收8566万元、现金约1.98亿元，应收账款4.65亿元。以上来源为AI所述附件字段，不认证上市公司真实报表。</w:t>
      </w:r>
    </w:p>
    <w:p>
      <w:r>
        <w:t>待核公告线索：2026-05-06被实施其他风险警示；上海标准海菱收入确认内控问题，内控意见与财报意见须分别查原公告。海菱停业清算与注销安排应查公告。</w:t>
      </w:r>
    </w:p>
    <w:p>
      <w:r>
        <w:t>资料任务：从官方公告核验主体、股权、财务、审计意见和风险警示状态；保留公告日期、标题、链接和具体页码。没有附带历史AI投资安全区间、谈判建议或最终风险判断。</w:t>
      </w:r>
    </w:p>
    <w:p>
      <w:r>
        <w:t>内部摸底材料，不直接交给对方。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