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产品规格说明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产品与型号</w:t>
      </w:r>
    </w:p>
    <w:p>
      <w:r>
        <w:t>合成标准产品为SC-240控制终端，面向工业监测与配套控制场景。标准配置与选配件分开报价。此文件为原始规格书，不包含客户需求匹配结论。</w:t>
      </w:r>
    </w:p>
    <w:p>
      <w:pPr>
        <w:pStyle w:val="Heading2"/>
      </w:pPr>
      <w:r>
        <w:t>电气与环境参数</w:t>
      </w:r>
    </w:p>
    <w:p>
      <w:r>
        <w:t>额定供电24V DC，允许范围20至28V。工作温度0至45℃，储存温度-20至70℃。工作湿度10%至85%，无凝露。标准防护等级IP54。</w:t>
      </w:r>
    </w:p>
    <w:p>
      <w:pPr>
        <w:pStyle w:val="Heading2"/>
      </w:pPr>
      <w:r>
        <w:t>接口与采样</w:t>
      </w:r>
    </w:p>
    <w:p>
      <w:r>
        <w:t>标准通信接口为RS485，支持Modbus RTU。Ethernet为独立选配模块。采样周期5ms，支持8路模拟量输入和4路数字量输出，数据保存容量30天。</w:t>
      </w:r>
    </w:p>
    <w:p>
      <w:pPr>
        <w:pStyle w:val="Heading2"/>
      </w:pPr>
      <w:r>
        <w:t>交付与质保</w:t>
      </w:r>
    </w:p>
    <w:p>
      <w:r>
        <w:t>标准交期为确认订单后25个自然日，安装尺寸为210×145×68mm，整机重量1.8kg。合成质保期12个月，现场支持按服务合同执行。</w:t>
      </w:r>
    </w:p>
    <w:p>
      <w:pPr>
        <w:pStyle w:val="Heading2"/>
      </w:pPr>
      <w:r>
        <w:t>技术变更</w:t>
      </w:r>
    </w:p>
    <w:p>
      <w:r>
        <w:t>低温、户外高防护和高速采样配置属于非标准改型，需技术评审后确认价格与交期。原输入不预写是否满足客户要求的判断。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技术指标</w:t>
            </w:r>
          </w:p>
        </w:tc>
        <w:tc>
          <w:tcPr>
            <w:tcW w:type="dxa" w:w="3408"/>
          </w:tcPr>
          <w:p>
            <w:r>
              <w:t>标准配置值</w:t>
            </w:r>
          </w:p>
        </w:tc>
        <w:tc>
          <w:tcPr>
            <w:tcW w:type="dxa" w:w="3408"/>
          </w:tcPr>
          <w:p>
            <w:r>
              <w:t>单位或说明</w:t>
            </w:r>
          </w:p>
        </w:tc>
      </w:tr>
      <w:tr>
        <w:tc>
          <w:tcPr>
            <w:tcW w:type="dxa" w:w="3408"/>
          </w:tcPr>
          <w:p>
            <w:r>
              <w:t>供电</w:t>
            </w:r>
          </w:p>
        </w:tc>
        <w:tc>
          <w:tcPr>
            <w:tcW w:type="dxa" w:w="3408"/>
          </w:tcPr>
          <w:p>
            <w:r>
              <w:t>24</w:t>
            </w:r>
          </w:p>
        </w:tc>
        <w:tc>
          <w:tcPr>
            <w:tcW w:type="dxa" w:w="3408"/>
          </w:tcPr>
          <w:p>
            <w:r>
              <w:t>V DC，允许20至28V</w:t>
            </w:r>
          </w:p>
        </w:tc>
      </w:tr>
      <w:tr>
        <w:tc>
          <w:tcPr>
            <w:tcW w:type="dxa" w:w="3408"/>
          </w:tcPr>
          <w:p>
            <w:r>
              <w:t>工作温度</w:t>
            </w:r>
          </w:p>
        </w:tc>
        <w:tc>
          <w:tcPr>
            <w:tcW w:type="dxa" w:w="3408"/>
          </w:tcPr>
          <w:p>
            <w:r>
              <w:t>0至45</w:t>
            </w:r>
          </w:p>
        </w:tc>
        <w:tc>
          <w:tcPr>
            <w:tcW w:type="dxa" w:w="3408"/>
          </w:tcPr>
          <w:p>
            <w:r>
              <w:t>℃</w:t>
            </w:r>
          </w:p>
        </w:tc>
      </w:tr>
      <w:tr>
        <w:tc>
          <w:tcPr>
            <w:tcW w:type="dxa" w:w="3408"/>
          </w:tcPr>
          <w:p>
            <w:r>
              <w:t>防护等级</w:t>
            </w:r>
          </w:p>
        </w:tc>
        <w:tc>
          <w:tcPr>
            <w:tcW w:type="dxa" w:w="3408"/>
          </w:tcPr>
          <w:p>
            <w:r>
              <w:t>IP54</w:t>
            </w:r>
          </w:p>
        </w:tc>
        <w:tc>
          <w:tcPr>
            <w:tcW w:type="dxa" w:w="3408"/>
          </w:tcPr>
          <w:p>
            <w:r>
              <w:t>标准外壳</w:t>
            </w:r>
          </w:p>
        </w:tc>
      </w:tr>
      <w:tr>
        <w:tc>
          <w:tcPr>
            <w:tcW w:type="dxa" w:w="3408"/>
          </w:tcPr>
          <w:p>
            <w:r>
              <w:t>通信接口</w:t>
            </w:r>
          </w:p>
        </w:tc>
        <w:tc>
          <w:tcPr>
            <w:tcW w:type="dxa" w:w="3408"/>
          </w:tcPr>
          <w:p>
            <w:r>
              <w:t>RS485</w:t>
            </w:r>
          </w:p>
        </w:tc>
        <w:tc>
          <w:tcPr>
            <w:tcW w:type="dxa" w:w="3408"/>
          </w:tcPr>
          <w:p>
            <w:r>
              <w:t>Ethernet为选配</w:t>
            </w:r>
          </w:p>
        </w:tc>
      </w:tr>
      <w:tr>
        <w:tc>
          <w:tcPr>
            <w:tcW w:type="dxa" w:w="3408"/>
          </w:tcPr>
          <w:p>
            <w:r>
              <w:t>采样周期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ms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