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上海高校产学研联合创新计划项目打分表</w:t>
      </w:r>
    </w:p>
    <w:p>
      <w:r>
        <w:t>2026年9月21日  现场调整前的旧评分状态</w:t>
      </w:r>
    </w:p>
    <w:p>
      <w:r>
        <w:t>实验重建输入。原打分表和底稿字节未提供；九个项目、五维名次及旧排序按先前会话的具体矩阵描述重建。此表尚未执行本会话后续排序调整，不含项目风险意见、现场点评或修改建议。</w:t>
      </w:r>
    </w:p>
    <w:p>
      <w:pPr>
        <w:pStyle w:val="Heading1"/>
      </w:pPr>
      <w:r>
        <w:t>评分方法</w:t>
      </w:r>
    </w:p>
    <w:p>
      <w:r>
        <w:t>五个评分项分别使用1至9，每个数字在同一列只能出现一次，1为最优先推荐。名次合计越小越优；合计相同时按匹配度名次先后排序。五维名称以原描述简称保留，不虚构原模板的更长字段定义。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864"/>
        <w:gridCol w:w="3168"/>
        <w:gridCol w:w="792"/>
        <w:gridCol w:w="720"/>
        <w:gridCol w:w="720"/>
        <w:gridCol w:w="720"/>
        <w:gridCol w:w="720"/>
        <w:gridCol w:w="720"/>
        <w:gridCol w:w="864"/>
      </w:tblGrid>
      <w:tr>
        <w:trPr>
          <w:tblHeader/>
        </w:trPr>
        <w:tc>
          <w:tcPr>
            <w:tcW w:type="dxa" w:w="1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4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4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type="dxa" w:w="1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4"/>
          </w:tcPr>
          <w:p>
            <w:pPr>
              <w:spacing w:before="60" w:after="60"/>
              <w:jc w:val="left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1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4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匹配度</w:t>
              <w:br/>
              <w:t>重建</w:t>
            </w:r>
          </w:p>
        </w:tc>
        <w:tc>
          <w:tcPr>
            <w:tcW w:type="dxa" w:w="1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4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校企</w:t>
              <w:br/>
              <w:t>重建</w:t>
            </w:r>
          </w:p>
        </w:tc>
        <w:tc>
          <w:tcPr>
            <w:tcW w:type="dxa" w:w="1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4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人才</w:t>
              <w:br/>
              <w:t>重建</w:t>
            </w:r>
          </w:p>
        </w:tc>
        <w:tc>
          <w:tcPr>
            <w:tcW w:type="dxa" w:w="1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4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目标</w:t>
              <w:br/>
              <w:t>重建</w:t>
            </w:r>
          </w:p>
        </w:tc>
        <w:tc>
          <w:tcPr>
            <w:tcW w:type="dxa" w:w="1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4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基础</w:t>
              <w:br/>
              <w:t>重建</w:t>
            </w:r>
          </w:p>
        </w:tc>
        <w:tc>
          <w:tcPr>
            <w:tcW w:type="dxa" w:w="1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4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合计</w:t>
            </w:r>
          </w:p>
        </w:tc>
        <w:tc>
          <w:tcPr>
            <w:tcW w:type="dxa" w:w="1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4"/>
          </w:tcPr>
          <w:p>
            <w:pPr>
              <w:spacing w:before="60" w:after="60"/>
              <w:jc w:val="center"/>
            </w:pPr>
            <w:r>
              <w:rPr>
                <w:b/>
                <w:sz w:val="18"/>
              </w:rPr>
              <w:t>旧排序</w:t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刘晔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先进制程集成电路金属有机前驱体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吕长虹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K-12具身智能教育大模型与自主智能体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张美玲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植物乳杆菌后生元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7</w:t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吴光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极端环境高精度激光三维测量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谭鑫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面向复杂场景的具身智能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熊红凯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6G空天地感知 通信 计算一体化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谭琨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低空智能遥感决策中枢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陆雪琴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渗滤液浓缩液生物脱氮除硫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蒯曙光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飞行员人因仿真验证平台</w:t>
            </w:r>
          </w:p>
        </w:tc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18"/>
              </w:rPr>
              <w:t>6</w:t>
            </w:r>
          </w:p>
        </w:tc>
      </w:tr>
    </w:tbl>
    <w:p/>
    <w:p>
      <w:pPr>
        <w:pStyle w:val="Heading1"/>
      </w:pPr>
      <w:r>
        <w:t>旧状态计算</w:t>
      </w:r>
    </w:p>
    <w:p>
      <w:r>
        <w:t>五个维度分别合计45，九个项目的名次合计总和为225。旧排序为熊红凯、吕长虹、刘晔、吴光、谭鑫、蒯曙光、张美玲、陆雪琴、谭琨。刘晔与吴光的合计均为18，按匹配度名次1与6区分先后。</w:t>
      </w:r>
    </w:p>
    <w:p>
      <w:r>
        <w:t>配套评分底稿保留可编辑维度格以及合计、推荐排序公式。此输入只提供旧状态；更新要求应由本次用户轮次驱动。原件版本、真实评审结论及真实业务事实均未认证。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