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专家库模块意见征集反馈-0713尊敬的专家:您好!感谢您对专家库模块提出的宝贵意见。经研究,现</w:t>
      </w:r>
      <w:r>
        <w:br/>
      </w:r>
      <w:r>
        <w:t>就各项问题答复如下:一、专家库除了保存基本信息,是否需要记录专家的评审历史、擅长方向、回避单位</w:t>
      </w:r>
      <w:r>
        <w:br/>
      </w:r>
      <w:r>
        <w:t>、利益冲突、可用时间、评审质量、是否经常超时等信息?回答:该问题为专家信息字段扩展部分采纳:评</w:t>
      </w:r>
      <w:r>
        <w:br/>
      </w:r>
      <w:r>
        <w:t>审历史中新增"是否超时"字段(以完成时间是否晚于评审时间段为判定标准);专家注册及新增时,表单</w:t>
      </w:r>
      <w:r>
        <w:br/>
      </w:r>
      <w:r>
        <w:t>增加"擅长方向"(非必填);同时规划有专家个人信息页,专家可自行维护本人信息及劳务费信息。回避</w:t>
      </w:r>
      <w:r>
        <w:br/>
      </w:r>
      <w:r>
        <w:t>单位、利益冲突,不符合评审申报流程,建议由指南创建者自行把握。可用时间,平台已规划专家接受/拒</w:t>
      </w:r>
      <w:r>
        <w:br/>
      </w:r>
      <w:r>
        <w:t>绝流程,覆盖了该需求二、"领域"与"标签"分开设计设计已覆盖。系统中"领域"用于专业匹配,"标</w:t>
      </w:r>
      <w:r>
        <w:br/>
      </w:r>
      <w:r>
        <w:t>签"用于业务筛选,二者独立成两个字段;"擅长方向"归入标签,与领域分开管理。三、超时提醒与催办</w:t>
      </w:r>
      <w:r>
        <w:br/>
      </w:r>
      <w:r>
        <w:t>采纳。系统提供"催办完成评审""更换专家"功能,均通过短信通知专家;更换专家逻辑与"禁用有在评</w:t>
      </w:r>
      <w:r>
        <w:br/>
      </w:r>
      <w:r>
        <w:t>任务专家"的处理逻辑保持一致。四、劳务费信息权限控制原设计已满足。劳务费信息单独管理,批量导出</w:t>
      </w:r>
      <w:r>
        <w:br/>
      </w:r>
      <w:r>
        <w:t>时按权限区分:普通管理员导出不含劳务费字段,超级管理员导出包含完整字段。</w:t>
      </w:r>
    </w:p>
    <w:p/>
    <w:p/>
    <w:p/>
    <w:p>
      <w:r>
        <w:t>五、评审回避规则校验采纳。指南发布者提交评审设置时,将校验评审任务关联的发布单位是否为专家所在</w:t>
      </w:r>
      <w:r>
        <w:br/>
      </w:r>
      <w:r>
        <w:t>单位,若命中则予以提醒。六、劳务费字段与鹭江财务系统对齐采纳。劳务费信息字段调整为:证件类型、</w:t>
      </w:r>
      <w:r>
        <w:br/>
      </w:r>
      <w:r>
        <w:t>证件号、开户姓名、银行卡号、开户行所属地区、开户行、国籍/地区、职业职称、工作单位、手机号、性</w:t>
      </w:r>
      <w:r>
        <w:br/>
      </w:r>
      <w:r>
        <w:t>别、出生国家/地区,与财务系统"劳务收入申报"模块的导入模板保持一致。以上意见我们将纳入开发设</w:t>
      </w:r>
      <w:r>
        <w:br/>
      </w:r>
      <w:r>
        <w:t>计。如有其他建议,欢迎继续沟通。工作顺利!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