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西安瑞联新材料股份有限公司2021年限制性股票激励计划实施考核管理办法20210924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甲方为实验委托方，乙方为实验服务方。本协议草案围绕西安瑞联新材料股份有限公司2021年限制性股票激励计划实施考核管理办法20210924提供业务材料收集、技术咨询与阶段方案讨论。双方均为虚构测试主体。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合同含税总价170000元。签署后支付30%，阶段方案确认后支付40%，全部验收后支付30%。超出约定范围的工作须另行书面确认费用。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西安瑞联新材料股份有限公司2021年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35891.9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西安瑞联新材料股份有限公司2021年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24394.5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西安瑞联新材料股份有限公司2021年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3490.23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西安瑞联新材料股份有限公司2021年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19610.15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西安瑞联新材料股份有限公司2021年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15057.38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