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技术转移沙盘｜六角色立场卡</w:t>
      </w:r>
    </w:p>
    <w:p>
      <w:r>
        <w:t>实验课堂输入：用户明确课程、六角色及本人政府引导基金/国资平台身份；原完整规则、数值及原附件正文未导出，下述主体、数值、条件均为显式课堂参数，不是原企业事实、法律要求或已完成作业。</w:t>
      </w:r>
    </w:p>
    <w:p>
      <w:pPr>
        <w:pStyle w:val="Heading2"/>
      </w:pPr>
      <w:r>
        <w:t>六角色立场卡身份</w:t>
      </w:r>
    </w:p>
    <w:p>
      <w:r>
        <w:t>此文件提供各角色起始关注点；材料不包含政府组最终策略、预写谈判结论或完整作业。</w:t>
      </w:r>
    </w:p>
    <w:p>
      <w:pPr>
        <w:pStyle w:val="Heading2"/>
      </w:pPr>
      <w:r>
        <w:t>X智能企业/创始团队</w:t>
      </w:r>
    </w:p>
    <w:p>
      <w:r>
        <w:t>提出产品、资金需求、知识产权使用范围与分阶段验证；实验项目为工业视觉检测。</w:t>
      </w:r>
    </w:p>
    <w:p>
      <w:pPr>
        <w:pStyle w:val="Heading2"/>
      </w:pPr>
      <w:r>
        <w:t>S大学/TTO</w:t>
      </w:r>
    </w:p>
    <w:p>
      <w:r>
        <w:t>核对专利和成果权属、许可范围、研究人员投入及收益分配；未认证真实专利。</w:t>
      </w:r>
    </w:p>
    <w:p>
      <w:pPr>
        <w:pStyle w:val="Heading2"/>
      </w:pPr>
      <w:r>
        <w:t>合规与专业服务方</w:t>
      </w:r>
    </w:p>
    <w:p>
      <w:r>
        <w:t>整理各方提出的协议、治理及证据要求，标明待确认主体和未知规则，不预判合法性。</w:t>
      </w:r>
    </w:p>
    <w:p>
      <w:pPr>
        <w:pStyle w:val="Heading2"/>
      </w:pPr>
      <w:r>
        <w:t>地方政府/高新区</w:t>
      </w:r>
    </w:p>
    <w:p>
      <w:r>
        <w:t>讨论场地、服务和落地承诺的条件与成本；财政承诺均为课堂议题。</w:t>
      </w:r>
    </w:p>
    <w:p>
      <w:pPr>
        <w:pStyle w:val="Heading2"/>
      </w:pPr>
      <w:r>
        <w:t>政府引导基金/国资平台</w:t>
      </w:r>
    </w:p>
    <w:p>
      <w:r>
        <w:t>讨论出资条件、决策资料、项目里程碑、关联关系及退出，形成待协商条件清单。</w:t>
      </w:r>
    </w:p>
    <w:p>
      <w:pPr>
        <w:pStyle w:val="Heading2"/>
      </w:pPr>
      <w:r>
        <w:t>市场化VC</w:t>
      </w:r>
    </w:p>
    <w:p>
      <w:r>
        <w:t>讨论估值、收益、投资决策、共同尽调、股份安排及退出条件。</w:t>
      </w:r>
    </w:p>
    <w:p>
      <w:pPr>
        <w:pStyle w:val="Heading2"/>
      </w:pPr>
      <w:r>
        <w:t>信息与实验参数口径</w:t>
      </w:r>
    </w:p>
    <w:p>
      <w:r>
        <w:t>项目：工业视觉检测；拟需求1000万元，政府组讨论上限200万元，VC讨论300万元。与课堂案例及任务书一致。各方商业、政策及权属事实尚未认证。</w:t>
      </w:r>
    </w:p>
    <w:p>
      <w:pPr>
        <w:pStyle w:val="Heading2"/>
      </w:pPr>
      <w:r>
        <w:t>每组需要记录</w:t>
      </w:r>
    </w:p>
    <w:p>
      <w:r>
        <w:t>己方目标、当前证据、未知信息、待询问对象、可讨论选项、对方回应和修改记录；没有预先指定谁应让步或最终股份比例。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技术转移管理实验课堂输入；非原政策、原文件或完成作业。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