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博士科技上海与壹十八信息科技协议实验审阅底稿</w:t>
      </w:r>
    </w:p>
    <w:p>
      <w:r>
        <w:t>实验合成初始输入  原用户只提出审核此协议，未给出正文。保留可见双方名称与原文件身份，真实交易标的未知；本文件可用于原生审阅和编辑控制，不能验证原会话具体风险结论的一致性。</w:t>
      </w:r>
    </w:p>
    <w:p>
      <w:pPr>
        <w:pStyle w:val="Heading1"/>
      </w:pPr>
      <w:r>
        <w:t>当事人与协议对象</w:t>
      </w:r>
    </w:p>
    <w:p>
      <w:r>
        <w:t>文件名标识的双方为博士科技上海与壹十八信息科技；此处保留原名称，不扩写为未经证实的公司全称。合作的具体标的、原业务类型、签章和主体证明未导出，协议对象为待确认字段。本实验初稿不把未知交易假定为咨询、开发、采购或投资。</w:t>
      </w:r>
    </w:p>
    <w:p>
      <w:pPr>
        <w:pStyle w:val="Heading1"/>
      </w:pPr>
      <w:r>
        <w:t>履行与交付</w:t>
      </w:r>
    </w:p>
    <w:p>
      <w:r>
        <w:t>甲方提供双方确认的输入条件，乙方按协商的范围完成履行。交付清单、履行地点、期限与验收指标尚未确定，应以双方签署的附件确认。本稿仅提供可编辑的条款结构，不构成真实履约证据。</w:t>
      </w:r>
    </w:p>
    <w:p>
      <w:pPr>
        <w:pStyle w:val="Heading1"/>
      </w:pPr>
      <w:r>
        <w:t>价款与结算</w:t>
      </w:r>
    </w:p>
    <w:p>
      <w:r>
        <w:t>协议价款、付款比例、收款账户和发票安排为待确认。初稿约定双方在履行前确认结算节点，对争议部分进行书面核对，但未约定逾期利息、对账期限和支付条件。</w:t>
      </w:r>
    </w:p>
    <w:p>
      <w:pPr>
        <w:pStyle w:val="Heading1"/>
      </w:pPr>
      <w:r>
        <w:t>资料与成果</w:t>
      </w:r>
    </w:p>
    <w:p>
      <w:r>
        <w:t>双方交换的已有资料归原权利人，合作形成成果的归属、使用和返还由双方另议。草案尚未明确是否形成知识产权、许可范围或可公开成果，供本次风险审阅补充。</w:t>
      </w:r>
    </w:p>
    <w:p>
      <w:pPr>
        <w:pStyle w:val="Heading1"/>
      </w:pPr>
      <w:r>
        <w:t>保密与变更</w:t>
      </w:r>
    </w:p>
    <w:p>
      <w:r>
        <w:t>双方对未公开的经营与技术资料保密，需求或范围改变保留书面记录。保密期限、例外情形、资料销毁和变更审批尚未具体约定。</w:t>
      </w:r>
    </w:p>
    <w:p>
      <w:pPr>
        <w:pStyle w:val="Heading1"/>
      </w:pPr>
      <w:r>
        <w:t>违约与争议</w:t>
      </w:r>
    </w:p>
    <w:p>
      <w:r>
        <w:t>发生不能履行或严重偏差时，双方协商整改或终止并清算已完成的事项。本稿未给出损失计算、解除条件、通知方式与管辖地，供用户当前审核形成修订意见。</w:t>
      </w:r>
    </w:p>
    <w:sectPr w:rsidR="00FC693F" w:rsidRPr="0006063C" w:rsidSect="00034616">
      <w:pgSz w:w="12240" w:h="15840"/>
      <w:pgMar w:top="1077" w:right="1247" w:bottom="107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Noto Sans CJK SC" w:hAnsi="Noto Sans CJK SC"/>
      <w:color w:val="000000"/>
      <w:sz w:val="20"/>
      <w:rFonts w:eastAsia="Noto Sans CJK SC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/>
      <w:b/>
      <w:bCs/>
      <w:color w:val="000000"/>
      <w:sz w:val="24"/>
      <w:szCs w:val="28"/>
      <w:rFonts w:eastAsia="Noto Sans CJK SC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/>
      <w:color w:val="000000"/>
      <w:spacing w:val="5"/>
      <w:kern w:val="28"/>
      <w:sz w:val="32"/>
      <w:szCs w:val="52"/>
      <w:rFonts w:eastAsia="Noto Sans CJK SC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