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德弈申与云知师AI课堂教学研修课程合作协议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课程合作</w:t>
      </w:r>
    </w:p>
    <w:p>
      <w:r>
        <w:t>甲方为德弈申，乙方为云知师，合作开发与实施AI赋能课堂教学研修课程。真实全称、课程数量、学员规模与费用未导出。课程包含AI工具入门、教学案例演练、课堂设计研讨及成果分享。</w:t>
      </w:r>
    </w:p>
    <w:p>
      <w:pPr>
        <w:pStyle w:val="Heading1"/>
      </w:pPr>
      <w:r>
        <w:t>双方工作</w:t>
      </w:r>
    </w:p>
    <w:p>
      <w:r>
        <w:t>甲方组织学员、安排场地与提供课程需求，乙方提供课程方案、教师培训和平台技术支持。设备、网络、账号、模型调用额度及第三方服务费用界面尚未细分，供乙方CTO审核。</w:t>
      </w:r>
    </w:p>
    <w:p>
      <w:pPr>
        <w:pStyle w:val="Heading1"/>
      </w:pPr>
      <w:r>
        <w:t>实施与验收</w:t>
      </w:r>
    </w:p>
    <w:p>
      <w:r>
        <w:t>按课程安排交付课件、活动记录和研修成果汇编。验收草案仅以甲方满意为准，未写客观条件、反馈期限或需求冻结，留待本次风险分析。</w:t>
      </w:r>
    </w:p>
    <w:p>
      <w:pPr>
        <w:pStyle w:val="Heading1"/>
      </w:pPr>
      <w:r>
        <w:t>内容与平台</w:t>
      </w:r>
    </w:p>
    <w:p>
      <w:r>
        <w:t>甲方可在课程内使用乙方提供材料，乙方既有平台与底层代码不因本合作转让。二次传播、复制期限、学员作品与录播授权尚待双方明确。</w:t>
      </w:r>
    </w:p>
    <w:p>
      <w:pPr>
        <w:pStyle w:val="Heading1"/>
      </w:pPr>
      <w:r>
        <w:t>数据与维护</w:t>
      </w:r>
    </w:p>
    <w:p>
      <w:r>
        <w:t>使用教师与学生示例资料前由甲方取得必要授权，敏感信息脱敏。平台维护期间的支持时限、模型波动与责任上限尚未确定。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