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戴维新材AC项目估值分析20260901v5(1)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甲方为实验委托方，乙方为实验服务方。本协议草案围绕戴维新材AC项目估值分析20260901v5(1)提供业务材料收集、技术咨询与阶段方案讨论。双方均为虚构测试主体。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戴维新材AC项目估值分析202609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21774.87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戴维新材AC项目估值分析202609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57851.68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戴维新材AC项目估值分析202609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33222.09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戴维新材AC项目估值分析202609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7482.25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戴维新材AC项目估值分析202609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37676.52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