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相关境外资金运营实验方案</w:t>
      </w:r>
    </w:p>
    <w:p>
      <w:r>
        <w:t>实验输入材料 原附件字节未恢复 不含历史AI答案</w:t>
      </w:r>
    </w:p>
    <w:p>
      <w:pPr>
        <w:pStyle w:val="Heading1"/>
      </w:pPr>
      <w:r>
        <w:t>方案说明</w:t>
      </w:r>
    </w:p>
    <w:p>
      <w:r>
        <w:t>原境外资金运营方案正文及交易事实未知。本稿为方案一税务事项分析提供明确的实验交易路径，不认证原跨境结构或适用税负。</w:t>
      </w:r>
    </w:p>
    <w:p>
      <w:pPr>
        <w:pStyle w:val="Heading1"/>
      </w:pPr>
      <w:r>
        <w:t>方案一 初始交易路径</w:t>
      </w:r>
    </w:p>
    <w:p>
      <w:r>
        <w:t>实验客户为境内企业A，拟与境外项目公司B开展业务。企业A按双方另行确认的合同支付资金，公司B在项目地支付运营费用并形成收入记录。</w:t>
      </w:r>
    </w:p>
    <w:p>
      <w:r>
        <w:t>资金性质暂列待确认，不把股权投资、贷款、服务采购或分红四种情形混为同一项。未填写账户、税号、税率、司法辖区或真实税额。</w:t>
      </w:r>
    </w:p>
    <w:p>
      <w:pPr>
        <w:pStyle w:val="Heading1"/>
      </w:pPr>
      <w:r>
        <w:t>税务分析所需原始字段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/>
        </w:trP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字段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当前实验输入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客户税收居民地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境内；原具体税收身份待核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境外交易地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未知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款项合同依据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待提供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资金性质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投资/债权/费用需核实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关联关系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未知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收款对象与实际受益人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未知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收入、费用与分配期间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待提供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纳税申报和凭证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未提供</w:t>
            </w:r>
          </w:p>
        </w:tc>
      </w:tr>
    </w:tbl>
    <w:p>
      <w:pPr>
        <w:pStyle w:val="Heading1"/>
      </w:pPr>
      <w:r>
        <w:t>未完成事项</w:t>
      </w:r>
    </w:p>
    <w:p>
      <w:r>
        <w:t>原用户要求判断方案一条件下客户税务准备。本件提供初始路径和待核字段，未写税务答案、豁免结论或真实申报完成状态。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