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部门工作流程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部门工作流程是供实验任务使用的业务输入，涵盖背景、现状、规则和待确认记录。本文件提供任务处理前的合成原始材料。分析、修改、总结及最终交付由运行中的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部门工作流程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3756.96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部门工作流程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19</w:t>
            </w:r>
          </w:p>
        </w:tc>
        <w:tc>
          <w:tcPr>
            <w:tcW w:type="dxa" w:w="1704"/>
          </w:tcPr>
          <w:p>
            <w:r>
              <w:t>20456.92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部门工作流程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263.46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部门工作流程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19</w:t>
            </w:r>
          </w:p>
        </w:tc>
        <w:tc>
          <w:tcPr>
            <w:tcW w:type="dxa" w:w="1704"/>
          </w:tcPr>
          <w:p>
            <w:r>
              <w:t>31246.45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部门工作流程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24</w:t>
            </w:r>
          </w:p>
        </w:tc>
        <w:tc>
          <w:tcPr>
            <w:tcW w:type="dxa" w:w="1704"/>
          </w:tcPr>
          <w:p>
            <w:r>
              <w:t>19678.32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