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排产与发货核对输入材料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生产计划与数据口径</w:t>
      </w:r>
    </w:p>
    <w:p>
      <w:r>
        <w:t>排产与发货核对输入材料记录合成产品的物料需求。单套用量乘以计划套数为需求数量；可用库存不包含已锁定库存，在途数量需结合到货日期判断。</w:t>
      </w:r>
    </w:p>
    <w:p>
      <w:pPr>
        <w:pStyle w:val="Heading2"/>
      </w:pPr>
      <w:r>
        <w:t>物料与供应商</w:t>
      </w:r>
    </w:p>
    <w:p>
      <w:r>
        <w:t>物料包括控制板、电源模块、传感器、连接线、安装支架等。每个物料编码唯一，规格型号与供应商记录保持一一对应，不同批次可以具有不同交期。</w:t>
      </w:r>
    </w:p>
    <w:p>
      <w:pPr>
        <w:pStyle w:val="Heading2"/>
      </w:pPr>
      <w:r>
        <w:t>仓储规则</w:t>
      </w:r>
    </w:p>
    <w:p>
      <w:r>
        <w:t>库存盘点以本次生成数据为输入快照。现有库存可能无法覆盖全部需求；尚未到货的采购不能当作已经入库。实验中由 agent 实际完成缺料、齐套或采购计算。</w:t>
      </w:r>
    </w:p>
    <w:p>
      <w:pPr>
        <w:pStyle w:val="Heading2"/>
      </w:pPr>
      <w:r>
        <w:t>业务条件</w:t>
      </w:r>
    </w:p>
    <w:p>
      <w:r>
        <w:t>同一套产品需同时具备全部必要物料。急件可采用分批到货；替代物料须经过技术确认，不默认按相同数量替换。</w:t>
      </w:r>
    </w:p>
    <w:p>
      <w:pPr>
        <w:pStyle w:val="Heading2"/>
      </w:pPr>
      <w:r>
        <w:t>BOM原始用量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物料编码</w:t>
            </w:r>
          </w:p>
        </w:tc>
        <w:tc>
          <w:tcPr>
            <w:tcW w:type="dxa" w:w="2045"/>
          </w:tcPr>
          <w:p>
            <w:r>
              <w:t>物料名称</w:t>
            </w:r>
          </w:p>
        </w:tc>
        <w:tc>
          <w:tcPr>
            <w:tcW w:type="dxa" w:w="2045"/>
          </w:tcPr>
          <w:p>
            <w:r>
              <w:t>规格型号</w:t>
            </w:r>
          </w:p>
        </w:tc>
        <w:tc>
          <w:tcPr>
            <w:tcW w:type="dxa" w:w="2045"/>
          </w:tcPr>
          <w:p>
            <w:r>
              <w:t>单位</w:t>
            </w:r>
          </w:p>
        </w:tc>
        <w:tc>
          <w:tcPr>
            <w:tcW w:type="dxa" w:w="2045"/>
          </w:tcPr>
          <w:p>
            <w:r>
              <w:t>单套用量</w:t>
            </w:r>
          </w:p>
        </w:tc>
      </w:tr>
      <w:tr>
        <w:tc>
          <w:tcPr>
            <w:tcW w:type="dxa" w:w="2045"/>
          </w:tcPr>
          <w:p>
            <w:r>
              <w:t>MAT-0001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A-100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B-101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C-102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A-103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B-104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C-105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A-106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B-107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MAT-0009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C-108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MAT-0010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A-109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MAT-0011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B-110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MAT-0012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C-111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MAT-0013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A-112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MAT-0014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B-113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MAT-0015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C-114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MAT-0016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A-115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MAT-0017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B-116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MAT-0018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C-117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MAT-0019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A-118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MAT-0020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B-119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MAT-0021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C-120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MAT-0022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A-121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MAT-0023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B-122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MAT-0024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C-123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MAT-0025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A-124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MAT-0026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B-125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MAT-0027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C-126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MAT-0028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A-127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MAT-0029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B-128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MAT-0030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C-129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MAT-0031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A-130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MAT-0032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B-131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MAT-0033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C-132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MAT-0034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A-133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MAT-0035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B-134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MAT-0036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C-135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MAT-0037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A-136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MAT-0038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B-137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MAT-0039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C-138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MAT-0040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A-139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B-140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C-141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A-142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B-143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C-144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A-145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B-146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C-147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</w:tbl>
    <w:p>
      <w:pPr>
        <w:pStyle w:val="Heading2"/>
      </w:pPr>
      <w:r>
        <w:t>需求计划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产品名称</w:t>
            </w:r>
          </w:p>
        </w:tc>
        <w:tc>
          <w:tcPr>
            <w:tcW w:type="dxa" w:w="3408"/>
          </w:tcPr>
          <w:p>
            <w:r>
              <w:t>计划套数</w:t>
            </w:r>
          </w:p>
        </w:tc>
        <w:tc>
          <w:tcPr>
            <w:tcW w:type="dxa" w:w="3408"/>
          </w:tcPr>
          <w:p>
            <w:r>
              <w:t>需求日期</w:t>
            </w:r>
          </w:p>
        </w:tc>
      </w:tr>
      <w:tr>
        <w:tc>
          <w:tcPr>
            <w:tcW w:type="dxa" w:w="3408"/>
          </w:tcPr>
          <w:p>
            <w:r>
              <w:t>合成控制终端</w:t>
            </w:r>
          </w:p>
        </w:tc>
        <w:tc>
          <w:tcPr>
            <w:tcW w:type="dxa" w:w="3408"/>
          </w:tcPr>
          <w:p>
            <w:r>
              <w:t>44</w:t>
            </w:r>
          </w:p>
        </w:tc>
        <w:tc>
          <w:tcPr>
            <w:tcW w:type="dxa" w:w="3408"/>
          </w:tcPr>
          <w:p>
            <w:r>
              <w:t>2026-04-28</w:t>
            </w:r>
          </w:p>
        </w:tc>
      </w:tr>
    </w:tbl>
    <w:p>
      <w:pPr>
        <w:pStyle w:val="Heading2"/>
      </w:pPr>
      <w:r>
        <w:t>库存快照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账面库存</w:t>
            </w:r>
          </w:p>
        </w:tc>
        <w:tc>
          <w:tcPr>
            <w:tcW w:type="dxa" w:w="2556"/>
          </w:tcPr>
          <w:p>
            <w:r>
              <w:t>冻结库存</w:t>
            </w:r>
          </w:p>
        </w:tc>
        <w:tc>
          <w:tcPr>
            <w:tcW w:type="dxa" w:w="2556"/>
          </w:tcPr>
          <w:p>
            <w:r>
              <w:t>可用库存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171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171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48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46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36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6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50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45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50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44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157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150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154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154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29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105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103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40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37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13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47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42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55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49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84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77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76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76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53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52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18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69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65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50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45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7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73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66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46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46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46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45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143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141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97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94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87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83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93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88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49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43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110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103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56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56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34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111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109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52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49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17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117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112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46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40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59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52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103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103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117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115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103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100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38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33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46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40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62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55</w:t>
            </w:r>
          </w:p>
        </w:tc>
      </w:tr>
    </w:tbl>
    <w:p>
      <w:pPr>
        <w:pStyle w:val="Heading2"/>
      </w:pPr>
      <w:r>
        <w:t>采购在途原始记录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在途数量</w:t>
            </w:r>
          </w:p>
        </w:tc>
        <w:tc>
          <w:tcPr>
            <w:tcW w:type="dxa" w:w="2556"/>
          </w:tcPr>
          <w:p>
            <w:r>
              <w:t>预计到货日期</w:t>
            </w:r>
          </w:p>
        </w:tc>
        <w:tc>
          <w:tcPr>
            <w:tcW w:type="dxa" w:w="2556"/>
          </w:tcPr>
          <w:p>
            <w:r>
              <w:t>可靠性状态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</w:tbl>
    <w:p>
      <w:r>
        <w:t>可用库存=账面库存-冻结库存；可靠在途须同时满足已确认交期与不晚于需求日期。以上为输入定义，齐套数量和缺料清单尚未计算。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