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皖南二院医疗器械临床试验协议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研究项目与参与方</w:t>
      </w:r>
    </w:p>
    <w:p>
      <w:r>
        <w:t>本实验稿为医疗器械临床试验协议。申办者为上海美鲸灵医疗科技有限公司；研究机构为皖南二院。第三方临床服务机构如参与，仅承担试验协调服务，不代替研究者进行医疗判断。器械具体型号、原方案号与真实试验数据未导出。</w:t>
      </w:r>
    </w:p>
    <w:p>
      <w:pPr>
        <w:pStyle w:val="Heading1"/>
      </w:pPr>
      <w:r>
        <w:t>研究实施与伦理</w:t>
      </w:r>
    </w:p>
    <w:p>
      <w:r>
        <w:t>研究机构指定主要研究者，按伦理批准的方案实施入组、知情同意、访视和病例报告。启动以伦理批准及必要的备案为条件；未经批准不自行更改试验方案。申办者负责提供器械、说明书和研究资料。</w:t>
      </w:r>
    </w:p>
    <w:p>
      <w:pPr>
        <w:pStyle w:val="Heading1"/>
      </w:pPr>
      <w:r>
        <w:t>受试者与安全报告</w:t>
      </w:r>
    </w:p>
    <w:p>
      <w:r>
        <w:t>研究者提供医疗处置，记录不良事件与严重不良事件并通知申办者。实验稿约定重大安全事件及时通知，但报告时限、受试者损害补偿及责任分配尚需审阅明确。</w:t>
      </w:r>
    </w:p>
    <w:p>
      <w:pPr>
        <w:pStyle w:val="Heading1"/>
      </w:pPr>
      <w:r>
        <w:t>监查与质量</w:t>
      </w:r>
    </w:p>
    <w:p>
      <w:r>
        <w:t>申办者安排监查员核查源记录和病例报告表，研究机构提供合理的核查条件。试验偏差记录、数据疑问回复、器械领用和回收均建立登记，结题时提交完成情况报告。</w:t>
      </w:r>
    </w:p>
    <w:p>
      <w:pPr>
        <w:pStyle w:val="Heading1"/>
      </w:pPr>
      <w:r>
        <w:t>费用与退出</w:t>
      </w:r>
    </w:p>
    <w:p>
      <w:r>
        <w:t>经费按伦理通过、首例入组、完成随访和结题节点支付，实际金额及原比例未知，保留协商字段。提前终止时结算已完成工作；研究机构提出追加费应形成书面记录。</w:t>
      </w:r>
    </w:p>
    <w:p>
      <w:pPr>
        <w:pStyle w:val="Heading1"/>
      </w:pPr>
      <w:r>
        <w:t>数据知识产权与发表</w:t>
      </w:r>
    </w:p>
    <w:p>
      <w:r>
        <w:t>受试者身份信息由研究机构管理；申办者使用去标识研究数据。发表需双方提前沟通，草案尚未明确发表期限、申办者的数据审阅范围及保密例外。</w:t>
      </w:r>
    </w:p>
    <w:p>
      <w:pPr>
        <w:pStyle w:val="Heading1"/>
      </w:pPr>
      <w:r>
        <w:t>合同终止与争议</w:t>
      </w:r>
    </w:p>
    <w:p>
      <w:r>
        <w:t>试验不具备继续实施条件可暂停；终止后交接数据、器械和未结费用。签约页包括申办者、研究机构及需要时的第三方服务机构。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