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国内外友商评价实验初始材料</w:t>
      </w:r>
    </w:p>
    <w:p>
      <w:r>
        <w:t>实验输入材料 原附件字节未恢复 不含历史AI答案</w:t>
      </w:r>
    </w:p>
    <w:p>
      <w:pPr>
        <w:pStyle w:val="Heading1"/>
      </w:pPr>
      <w:r>
        <w:t>当前材料范围</w:t>
      </w:r>
    </w:p>
    <w:p>
      <w:r>
        <w:t>原友商评价稿正文未知。按当前上传前同源用户提到的Synlogic、美诺华、Aurealis、知易、未知君、慕恩等对象建立核对表，不把用户转述的临床阶段或市场规模当作已核事实。</w:t>
      </w:r>
    </w:p>
    <w:p>
      <w:pPr>
        <w:pStyle w:val="Heading1"/>
      </w:pPr>
      <w:r>
        <w:t>友商核对结构</w:t>
      </w:r>
    </w:p>
    <w:tbl>
      <w:tblPr>
        <w:tblStyle w:val="TableGrid"/>
        <w:tblW w:type="auto" w:w="0"/>
        <w:tblLook w:firstColumn="1" w:firstRow="1" w:lastColumn="0" w:lastRow="0" w:noHBand="0" w:noVBand="1" w:val="04A0"/>
      </w:tblPr>
      <w:tblGrid>
        <w:gridCol w:w="3264"/>
        <w:gridCol w:w="3264"/>
        <w:gridCol w:w="3264"/>
      </w:tblGrid>
      <w:tr>
        <w:trPr>
          <w:tblHeader/>
        </w:trPr>
        <w:tc>
          <w:tcPr>
            <w:tcW w:type="dxa" w:w="3264"/>
          </w:tcPr>
          <w:p>
            <w:pPr>
              <w:spacing w:after="60"/>
            </w:pPr>
            <w:r>
              <w:rPr>
                <w:sz w:val="19"/>
              </w:rPr>
              <w:t>对象</w:t>
            </w:r>
          </w:p>
        </w:tc>
        <w:tc>
          <w:tcPr>
            <w:tcW w:type="dxa" w:w="3264"/>
          </w:tcPr>
          <w:p>
            <w:pPr>
              <w:spacing w:after="60"/>
            </w:pPr>
            <w:r>
              <w:rPr>
                <w:sz w:val="19"/>
              </w:rPr>
              <w:t>需要核对的主题</w:t>
            </w:r>
          </w:p>
        </w:tc>
        <w:tc>
          <w:tcPr>
            <w:tcW w:type="dxa" w:w="3264"/>
          </w:tcPr>
          <w:p>
            <w:pPr>
              <w:spacing w:after="60"/>
            </w:pPr>
            <w:r>
              <w:rPr>
                <w:sz w:val="19"/>
              </w:rPr>
              <w:t>来源与状态</w:t>
            </w:r>
          </w:p>
        </w:tc>
      </w:tr>
      <w:tr>
        <w:tc>
          <w:tcPr>
            <w:tcW w:type="dxa" w:w="3264"/>
          </w:tcPr>
          <w:p>
            <w:pPr>
              <w:spacing w:after="60"/>
            </w:pPr>
            <w:r>
              <w:rPr>
                <w:sz w:val="19"/>
              </w:rPr>
              <w:t>Synlogic</w:t>
            </w:r>
          </w:p>
        </w:tc>
        <w:tc>
          <w:tcPr>
            <w:tcW w:type="dxa" w:w="3264"/>
          </w:tcPr>
          <w:p>
            <w:pPr>
              <w:spacing w:after="60"/>
            </w:pPr>
            <w:r>
              <w:rPr>
                <w:sz w:val="19"/>
              </w:rPr>
              <w:t>产品类型、机理、研发阶段、真实证据与可比性</w:t>
            </w:r>
          </w:p>
        </w:tc>
        <w:tc>
          <w:tcPr>
            <w:tcW w:type="dxa" w:w="3264"/>
          </w:tcPr>
          <w:p>
            <w:pPr>
              <w:spacing w:after="60"/>
            </w:pPr>
            <w:r>
              <w:rPr>
                <w:sz w:val="19"/>
              </w:rPr>
              <w:t>原证据未恢复，待公开原始资料核对</w:t>
            </w:r>
          </w:p>
        </w:tc>
      </w:tr>
      <w:tr>
        <w:tc>
          <w:tcPr>
            <w:tcW w:type="dxa" w:w="3264"/>
          </w:tcPr>
          <w:p>
            <w:pPr>
              <w:spacing w:after="60"/>
            </w:pPr>
            <w:r>
              <w:rPr>
                <w:sz w:val="19"/>
              </w:rPr>
              <w:t>美诺华</w:t>
            </w:r>
          </w:p>
        </w:tc>
        <w:tc>
          <w:tcPr>
            <w:tcW w:type="dxa" w:w="3264"/>
          </w:tcPr>
          <w:p>
            <w:pPr>
              <w:spacing w:after="60"/>
            </w:pPr>
            <w:r>
              <w:rPr>
                <w:sz w:val="19"/>
              </w:rPr>
              <w:t>产品类型、机理、研发阶段、真实证据与可比性</w:t>
            </w:r>
          </w:p>
        </w:tc>
        <w:tc>
          <w:tcPr>
            <w:tcW w:type="dxa" w:w="3264"/>
          </w:tcPr>
          <w:p>
            <w:pPr>
              <w:spacing w:after="60"/>
            </w:pPr>
            <w:r>
              <w:rPr>
                <w:sz w:val="19"/>
              </w:rPr>
              <w:t>原证据未恢复，待公开原始资料核对</w:t>
            </w:r>
          </w:p>
        </w:tc>
      </w:tr>
      <w:tr>
        <w:tc>
          <w:tcPr>
            <w:tcW w:type="dxa" w:w="3264"/>
          </w:tcPr>
          <w:p>
            <w:pPr>
              <w:spacing w:after="60"/>
            </w:pPr>
            <w:r>
              <w:rPr>
                <w:sz w:val="19"/>
              </w:rPr>
              <w:t>Aurealis</w:t>
            </w:r>
          </w:p>
        </w:tc>
        <w:tc>
          <w:tcPr>
            <w:tcW w:type="dxa" w:w="3264"/>
          </w:tcPr>
          <w:p>
            <w:pPr>
              <w:spacing w:after="60"/>
            </w:pPr>
            <w:r>
              <w:rPr>
                <w:sz w:val="19"/>
              </w:rPr>
              <w:t>产品类型、机理、研发阶段、真实证据与可比性</w:t>
            </w:r>
          </w:p>
        </w:tc>
        <w:tc>
          <w:tcPr>
            <w:tcW w:type="dxa" w:w="3264"/>
          </w:tcPr>
          <w:p>
            <w:pPr>
              <w:spacing w:after="60"/>
            </w:pPr>
            <w:r>
              <w:rPr>
                <w:sz w:val="19"/>
              </w:rPr>
              <w:t>原证据未恢复，待公开原始资料核对</w:t>
            </w:r>
          </w:p>
        </w:tc>
      </w:tr>
      <w:tr>
        <w:tc>
          <w:tcPr>
            <w:tcW w:type="dxa" w:w="3264"/>
          </w:tcPr>
          <w:p>
            <w:pPr>
              <w:spacing w:after="60"/>
            </w:pPr>
            <w:r>
              <w:rPr>
                <w:sz w:val="19"/>
              </w:rPr>
              <w:t>知易</w:t>
            </w:r>
          </w:p>
        </w:tc>
        <w:tc>
          <w:tcPr>
            <w:tcW w:type="dxa" w:w="3264"/>
          </w:tcPr>
          <w:p>
            <w:pPr>
              <w:spacing w:after="60"/>
            </w:pPr>
            <w:r>
              <w:rPr>
                <w:sz w:val="19"/>
              </w:rPr>
              <w:t>产品类型、机理、研发阶段、真实证据与可比性</w:t>
            </w:r>
          </w:p>
        </w:tc>
        <w:tc>
          <w:tcPr>
            <w:tcW w:type="dxa" w:w="3264"/>
          </w:tcPr>
          <w:p>
            <w:pPr>
              <w:spacing w:after="60"/>
            </w:pPr>
            <w:r>
              <w:rPr>
                <w:sz w:val="19"/>
              </w:rPr>
              <w:t>原证据未恢复，待公开原始资料核对</w:t>
            </w:r>
          </w:p>
        </w:tc>
      </w:tr>
      <w:tr>
        <w:tc>
          <w:tcPr>
            <w:tcW w:type="dxa" w:w="3264"/>
          </w:tcPr>
          <w:p>
            <w:pPr>
              <w:spacing w:after="60"/>
            </w:pPr>
            <w:r>
              <w:rPr>
                <w:sz w:val="19"/>
              </w:rPr>
              <w:t>未知君</w:t>
            </w:r>
          </w:p>
        </w:tc>
        <w:tc>
          <w:tcPr>
            <w:tcW w:type="dxa" w:w="3264"/>
          </w:tcPr>
          <w:p>
            <w:pPr>
              <w:spacing w:after="60"/>
            </w:pPr>
            <w:r>
              <w:rPr>
                <w:sz w:val="19"/>
              </w:rPr>
              <w:t>产品类型、机理、研发阶段、真实证据与可比性</w:t>
            </w:r>
          </w:p>
        </w:tc>
        <w:tc>
          <w:tcPr>
            <w:tcW w:type="dxa" w:w="3264"/>
          </w:tcPr>
          <w:p>
            <w:pPr>
              <w:spacing w:after="60"/>
            </w:pPr>
            <w:r>
              <w:rPr>
                <w:sz w:val="19"/>
              </w:rPr>
              <w:t>原证据未恢复，待公开原始资料核对</w:t>
            </w:r>
          </w:p>
        </w:tc>
      </w:tr>
      <w:tr>
        <w:tc>
          <w:tcPr>
            <w:tcW w:type="dxa" w:w="3264"/>
          </w:tcPr>
          <w:p>
            <w:pPr>
              <w:spacing w:after="60"/>
            </w:pPr>
            <w:r>
              <w:rPr>
                <w:sz w:val="19"/>
              </w:rPr>
              <w:t>慕恩</w:t>
            </w:r>
          </w:p>
        </w:tc>
        <w:tc>
          <w:tcPr>
            <w:tcW w:type="dxa" w:w="3264"/>
          </w:tcPr>
          <w:p>
            <w:pPr>
              <w:spacing w:after="60"/>
            </w:pPr>
            <w:r>
              <w:rPr>
                <w:sz w:val="19"/>
              </w:rPr>
              <w:t>产品类型、机理、研发阶段、真实证据与可比性</w:t>
            </w:r>
          </w:p>
        </w:tc>
        <w:tc>
          <w:tcPr>
            <w:tcW w:type="dxa" w:w="3264"/>
          </w:tcPr>
          <w:p>
            <w:pPr>
              <w:spacing w:after="60"/>
            </w:pPr>
            <w:r>
              <w:rPr>
                <w:sz w:val="19"/>
              </w:rPr>
              <w:t>原证据未恢复，待公开原始资料核对</w:t>
            </w:r>
          </w:p>
        </w:tc>
      </w:tr>
    </w:tbl>
    <w:p>
      <w:pPr>
        <w:pStyle w:val="Heading1"/>
      </w:pPr>
      <w:r>
        <w:t>公司相对信息</w:t>
      </w:r>
    </w:p>
    <w:p>
      <w:r>
        <w:t>用户此前区分天然菌与工程菌，并提供公司研发及生产的描述。实际技术比较、专利能否阻止跟随和临床优势没有独立认证。</w:t>
      </w:r>
    </w:p>
    <w:p>
      <w:r>
        <w:t>当前材料不包含更新后的竞对结论或用户在下一轮才提出的新对象与专利问题。</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