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原采购合同_初始</w:t>
      </w:r>
    </w:p>
    <w:p>
      <w:r>
        <w:t>实验输入材料；原文件字节未知。新增领域数据均为合成，不认证原业务事实。</w:t>
      </w:r>
    </w:p>
    <w:p>
      <w:pPr>
        <w:keepLines/>
      </w:pPr>
      <w:r>
        <w:rPr>
          <w:b/>
        </w:rPr>
        <w:t xml:space="preserve">采购主体  </w:t>
      </w:r>
      <w:r>
        <w:t>原甲方：广州欧利华品牌管理有限公司。原乙方：中科芯飞（广州）有限公司。名称依原用户提供，原合同其它信息未知。初始合同不更换为后续新主体。</w:t>
      </w:r>
    </w:p>
    <w:p>
      <w:pPr>
        <w:keepLines/>
      </w:pPr>
      <w:r>
        <w:rPr>
          <w:b/>
        </w:rPr>
        <w:t xml:space="preserve">商品与价款  </w:t>
      </w:r>
      <w:r>
        <w:t>实验采购设备100套，单价1200元，含税总价120000元。真实商品型号、原数量/价格/税率未知；本稿为可逐项修改主体及补充协议的初始数据。</w:t>
      </w:r>
    </w:p>
    <w:p>
      <w:pPr>
        <w:keepLines/>
      </w:pPr>
      <w:r>
        <w:rPr>
          <w:b/>
        </w:rPr>
        <w:t xml:space="preserve">交付与验收  </w:t>
      </w:r>
      <w:r>
        <w:t>实验约定签约后30日交付，甲方收货10日内检验并书面提出异议。实验原采购计划未完成，履行记录待核。</w:t>
      </w:r>
    </w:p>
    <w:p>
      <w:pPr>
        <w:keepLines/>
      </w:pPr>
      <w:r>
        <w:rPr>
          <w:b/>
        </w:rPr>
        <w:t xml:space="preserve">付款与开票  </w:t>
      </w:r>
      <w:r>
        <w:t>预付30%即36000元，验收后70%即84000元。原收款与开票主体为中科芯飞（广州）有限公司；收款账户留空，不编造真实账户。</w:t>
      </w:r>
    </w:p>
    <w:p>
      <w:pPr>
        <w:keepLines/>
      </w:pPr>
      <w:r>
        <w:rPr>
          <w:b/>
        </w:rPr>
        <w:t xml:space="preserve">原合同效力  </w:t>
      </w:r>
      <w:r>
        <w:t>双方原合同已履行部分是否存在异议，应以原用户对履行状态的陈述核实；本输入不预写“四方已确认无异议”或新的主体变更。</w:t>
      </w:r>
    </w:p>
    <w:p>
      <w:pPr>
        <w:keepLines/>
      </w:pPr>
      <w:r>
        <w:rPr>
          <w:b/>
        </w:rPr>
        <w:t xml:space="preserve">其他条款  </w:t>
      </w:r>
      <w:r>
        <w:t>售后质保12个月，重大违约10工作日整改。费用、商品、质保系实验设置，原采购正文和真实交易要素未知。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