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第三方估值工作草稿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工作草稿身份</w:t>
      </w:r>
    </w:p>
    <w:p>
      <w:r>
        <w:t>本文件是合成第三方估值机构为合成转让04和05编制的估值工作草稿，记录日期2026年5月11日。无真实资质、印章或政府备案效力，不是教育部或国资监管机关出具文件。</w:t>
      </w:r>
    </w:p>
    <w:p>
      <w:pPr>
        <w:pStyle w:val="Heading2"/>
      </w:pPr>
      <w:r>
        <w:t>原始输入假设</w:t>
      </w:r>
    </w:p>
    <w:p>
      <w:r>
        <w:t>估值依赖后续收益区间、预计合作年限和开发成本资料；项目联系人提交预计合作期限3年，开发记录成本区间25万至40万元。原始交易价格以定价工作登记中记录为准。</w:t>
      </w:r>
    </w:p>
    <w:p>
      <w:pPr>
        <w:pStyle w:val="Heading2"/>
      </w:pPr>
      <w:r>
        <w:t>未完成资料字段</w:t>
      </w:r>
    </w:p>
    <w:p>
      <w:r>
        <w:t>草稿尚未附最终签发报告编号、签章页和备案收文凭证，第三方资质信息未核查。此项只记录本合成输入所含字段，不预写合法性或合规性判断。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