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建设项目主体沉降观测合同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项目与工作范围</w:t>
      </w:r>
    </w:p>
    <w:p>
      <w:r>
        <w:t>项目名称为年产500吨光刻胶单体、新型显示单体和感光树脂项目。甲方为发包方，乙方为沉降观测单位。观测范围为项目主体建筑物的沉降与倾斜；建筑清单、真实点位与坐标未知。</w:t>
      </w:r>
    </w:p>
    <w:p>
      <w:pPr>
        <w:pStyle w:val="Heading1"/>
      </w:pPr>
      <w:r>
        <w:t>观测实施</w:t>
      </w:r>
    </w:p>
    <w:p>
      <w:r>
        <w:t>乙方布设稳定基准点和建筑观测点，提交首次观测数据与测量记录，按施工进度、加载变化及异常情况安排后续观测。仪器校准与观测人员信息应保留记录。</w:t>
      </w:r>
    </w:p>
    <w:p>
      <w:pPr>
        <w:pStyle w:val="Heading1"/>
      </w:pPr>
      <w:r>
        <w:t>成果交付</w:t>
      </w:r>
    </w:p>
    <w:p>
      <w:r>
        <w:t>每期提供点位高程、累计沉降、沉降速率、曲线与测量误差说明，结束后出具总结报告。实验频率为每月一次，原频率与精度须另行核对。</w:t>
      </w:r>
    </w:p>
    <w:p>
      <w:pPr>
        <w:pStyle w:val="Heading1"/>
      </w:pPr>
      <w:r>
        <w:t>费用与异常</w:t>
      </w:r>
    </w:p>
    <w:p>
      <w:r>
        <w:t>费用按确认观测期次结算，现场新增点位另行确认。原稿对异常沉降通知时限、漏测补测与成果质量违约责任规定较简略，留待当前审阅修订。</w:t>
      </w:r>
    </w:p>
    <w:p>
      <w:pPr>
        <w:pStyle w:val="Heading1"/>
      </w:pPr>
      <w:r>
        <w:t>保密与终止</w:t>
      </w:r>
    </w:p>
    <w:p>
      <w:r>
        <w:t>甲方提供现场进场条件和施工资料；乙方不得擅自披露建筑和观测数据。项目停工或合同终止时完成资料交接。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