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物流运输月结合同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委托运输</w:t>
      </w:r>
    </w:p>
    <w:p>
      <w:r>
        <w:t>甲方为货主，乙方为承运服务方。每票订单记录品名、数量、重量、始发与目的地址、收货人、运价和约定到货时间。真实路线、货值和主体未导出，实验订单另表登记。</w:t>
      </w:r>
    </w:p>
    <w:p>
      <w:pPr>
        <w:pStyle w:val="Heading1"/>
      </w:pPr>
      <w:r>
        <w:t>交货与回单</w:t>
      </w:r>
    </w:p>
    <w:p>
      <w:r>
        <w:t>乙方核对包装与运单后收货；客户签收回单为结算依据。短缺、拒收与异常签收应作记录。原稿对收货人迟延签收的责任分配尚未明确。</w:t>
      </w:r>
    </w:p>
    <w:p>
      <w:pPr>
        <w:pStyle w:val="Heading1"/>
      </w:pPr>
      <w:r>
        <w:t>月结费用</w:t>
      </w:r>
    </w:p>
    <w:p>
      <w:r>
        <w:t>每月末对账，以核对后的实际运输费用结算。甲方在收到发票后30日付款；临时装卸、等待、返程及保价费须在运单约定。</w:t>
      </w:r>
    </w:p>
    <w:p>
      <w:pPr>
        <w:pStyle w:val="Heading1"/>
      </w:pPr>
      <w:r>
        <w:t>货损与保险</w:t>
      </w:r>
    </w:p>
    <w:p>
      <w:r>
        <w:t>乙方处理运输损毁和丢失，甲方提供损失凭证。赔付上限、货物固有缺陷与甲方包装不足的责任尚未明确，供乙方法律顾问修订。</w:t>
      </w:r>
    </w:p>
    <w:p>
      <w:pPr>
        <w:pStyle w:val="Heading1"/>
      </w:pPr>
      <w:r>
        <w:t>分包与终止</w:t>
      </w:r>
    </w:p>
    <w:p>
      <w:r>
        <w:t>乙方使用协作车辆须保证运单交接可追溯；合同终止时结清已承运费用及在途货物，争议先行协商。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