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戴维新材AC项目估值分析实验初稿</w:t>
      </w:r>
    </w:p>
    <w:p>
      <w:r>
        <w:t>实验输入材料 原附件字节未恢复 不含历史AI答案</w:t>
      </w:r>
    </w:p>
    <w:p>
      <w:pPr>
        <w:pStyle w:val="Heading1"/>
      </w:pPr>
      <w:r>
        <w:t>资料范围</w:t>
      </w:r>
    </w:p>
    <w:p>
      <w:r>
        <w:t>原估值报告正文未知。以下已知数值仅来自同源此前用户输入：爱德克美2025年营业收入约9000万元，2026年上半年约6700万元，拟与投资人谈投前6亿元；本轮对象为其母公司西安戴维新材料有限公司。</w:t>
      </w:r>
    </w:p>
    <w:p>
      <w:r>
        <w:t>这些数字是用户给定的假设，不等于经审计财务值；不能把半年收入机械翻倍作为全年真实收入。</w:t>
      </w:r>
    </w:p>
    <w:p>
      <w:pPr>
        <w:pStyle w:val="Heading1"/>
      </w:pPr>
      <w:r>
        <w:t>核对输入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用户已给值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需要核对的口径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2025营业收入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约9000万元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子公司/合并范围与审计口径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2026年上半年收入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约6700万元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实际期间与确认政策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拟谈投前估值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6亿元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母公司股本、融资金额及稀释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材料领域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功能性光刻胶、电子显示专用胶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具体产品与收入构成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天津众泰/威迈芯材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用户提出的可比对象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来源与可比性尚未核验</w:t>
            </w:r>
          </w:p>
        </w:tc>
      </w:tr>
    </w:tbl>
    <w:p>
      <w:pPr>
        <w:pStyle w:val="Heading1"/>
      </w:pPr>
      <w:r>
        <w:t>初稿与待修订部分</w:t>
      </w:r>
    </w:p>
    <w:p>
      <w:r>
        <w:t>估值初稿按业务、财务口径、可比对象、拟融资条件和证据缺项排列。财务比较倍数留空，等待本轮核对与修订。</w:t>
      </w:r>
    </w:p>
    <w:p>
      <w:r>
        <w:t>不加入未经用户确认的收入预测、目标市值、上市时间或可比公司融资估值。</w:t>
      </w:r>
    </w:p>
    <w:p>
      <w:r>
        <w:t>本稿未完成用户要求的修订模式增补与数字核验。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