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【TC18】1.中科芯飞-增资协议20260924_clean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当事人和交易背景  </w:t>
      </w:r>
      <w:r>
        <w:t>增资协议。目标公司：中科芯飞。投资方：实验本轮投资方。创始股东：实验创始团队。名称来自可见文件信息；其他身份和金额为实验设置。</w:t>
      </w:r>
    </w:p>
    <w:p>
      <w:pPr>
        <w:keepLines/>
      </w:pPr>
      <w:r>
        <w:rPr>
          <w:b/>
        </w:rPr>
        <w:t xml:space="preserve">2. 估值与出资  </w:t>
      </w:r>
      <w:r>
        <w:t>投前估值4800万元，本轮投资1200万元，投后估值6000万元。投资款用于研发、产品化与市场试点；注册资本与资本公积另行区分列示。</w:t>
      </w:r>
    </w:p>
    <w:p>
      <w:pPr>
        <w:keepLines/>
      </w:pPr>
      <w:r>
        <w:rPr>
          <w:b/>
        </w:rPr>
        <w:t xml:space="preserve">3. 股权结构  </w:t>
      </w:r>
      <w:r>
        <w:t>投后创始股东一56%、创始股东二24%、本轮投资方20%，合计100%。原股权权属和员工激励安排需另行核对。</w:t>
      </w:r>
    </w:p>
    <w:p>
      <w:pPr>
        <w:keepLines/>
      </w:pPr>
      <w:r>
        <w:rPr>
          <w:b/>
        </w:rPr>
        <w:t xml:space="preserve">4. 交割条件  </w:t>
      </w:r>
      <w:r>
        <w:t>公司批准本轮交易、披露重大负债和未决争议后，投资方支付款项。注册资本变更、交割确认与银行到账各保留记录。</w:t>
      </w:r>
    </w:p>
    <w:p>
      <w:pPr>
        <w:keepLines/>
      </w:pPr>
      <w:r>
        <w:rPr>
          <w:b/>
        </w:rPr>
        <w:t xml:space="preserve">5. 董事会  </w:t>
      </w:r>
      <w:r>
        <w:t>董事会设5席，创始团队提名3席、投资方提名2席。重大事项包括新增融资、核心资产处置、对外担保和预算重大调整。</w:t>
      </w:r>
    </w:p>
    <w:p>
      <w:pPr>
        <w:keepLines/>
      </w:pPr>
      <w:r>
        <w:rPr>
          <w:b/>
        </w:rPr>
        <w:t xml:space="preserve">6. 保留事项  </w:t>
      </w:r>
      <w:r>
        <w:t>重大事项须董事会三分之二同意并取得至少一名投资方董事赞成。该草案保留可供创始股东评估的否决权边界，不提前写成用户要求的保护版。</w:t>
      </w:r>
    </w:p>
    <w:p>
      <w:pPr>
        <w:keepLines/>
      </w:pPr>
      <w:r>
        <w:rPr>
          <w:b/>
        </w:rPr>
        <w:t xml:space="preserve">7. 资料与治理  </w:t>
      </w:r>
      <w:r>
        <w:t>投资方可按季度取得财务报表和项目进展，并在合理通知后查阅相关资料；不得以信息权替代日常业务决策。</w:t>
      </w:r>
    </w:p>
    <w:p>
      <w:pPr>
        <w:keepLines/>
      </w:pPr>
      <w:r>
        <w:rPr>
          <w:b/>
        </w:rPr>
        <w:t xml:space="preserve">8. 转让与优先权  </w:t>
      </w:r>
      <w:r>
        <w:t>股东拟对外转让时，其他股东在同等条件下具有优先受让机会。创始股东在交割后24个月内转让需事先取得董事会批准。</w:t>
      </w:r>
    </w:p>
    <w:p>
      <w:pPr>
        <w:keepLines/>
      </w:pPr>
      <w:r>
        <w:rPr>
          <w:b/>
        </w:rPr>
        <w:t xml:space="preserve">9. 反稀释与后续融资  </w:t>
      </w:r>
      <w:r>
        <w:t>后续融资价格低于本轮时，本草案约定投资方享有价格调整权，但尚未明确加权平均或完全棘轮公式及例外融资。</w:t>
      </w:r>
    </w:p>
    <w:p>
      <w:pPr>
        <w:keepLines/>
      </w:pPr>
      <w:r>
        <w:rPr>
          <w:b/>
        </w:rPr>
        <w:t xml:space="preserve">10. 回购与退出  </w:t>
      </w:r>
      <w:r>
        <w:t>约定若交割后36个月未达成双方认可的退出安排，投资方可提出公司及创始股东共同回购，价款按本金加年单利8%计算；草案未列责任上限。</w:t>
      </w:r>
    </w:p>
    <w:p>
      <w:pPr>
        <w:keepLines/>
      </w:pPr>
      <w:r>
        <w:rPr>
          <w:b/>
        </w:rPr>
        <w:t xml:space="preserve">11. 陈述、违约及保密  </w:t>
      </w:r>
      <w:r>
        <w:t>重大权属、授权和账务资料应真实；违约按实际损失主张责任。非公开交易资料仅用于本轮交易评估及履行。</w:t>
      </w:r>
    </w:p>
    <w:p>
      <w:pPr>
        <w:keepLines/>
      </w:pPr>
      <w:r>
        <w:rPr>
          <w:b/>
        </w:rPr>
        <w:t xml:space="preserve">12. 生效与签署  </w:t>
      </w:r>
      <w:r>
        <w:t>各方签署后按协议约定生效。签署人及日期留空。该初始协议未完成风险修改、不包含agent后续审核意见。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【TC18】1.中科芯飞-增资协议20260924_clean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