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附件1-1：西安瑞联新材料股份有限公司2021年限制性股票激励计划（草案）20210925.docx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计划概要  </w:t>
      </w:r>
      <w:r>
        <w:t>西安瑞联新材料股份有限公司2021年第二类限制性股票激励计划实验草案。对象A拟参加，B放弃，C持股6%且未参加，身份分开；真实授予总量与名单未恢复。</w:t>
      </w:r>
    </w:p>
    <w:p>
      <w:pPr>
        <w:keepLines/>
      </w:pPr>
      <w:r>
        <w:rPr>
          <w:b/>
        </w:rPr>
        <w:t xml:space="preserve">第一条 实验授予  </w:t>
      </w:r>
      <w:r>
        <w:t>A拟授予20000股，授予价10元/股，认购款20万元。实验归属40%/30%/30%，对应8000/6000/6000股。未认证原公司真实股数和定价。</w:t>
      </w:r>
    </w:p>
    <w:p>
      <w:pPr>
        <w:keepLines/>
      </w:pPr>
      <w:r>
        <w:rPr>
          <w:b/>
        </w:rPr>
        <w:t xml:space="preserve">第二条 生效程序  </w:t>
      </w:r>
      <w:r>
        <w:t>计划拟履行董事会、股东会和授权程序，需结合名单公示、决议及披露证据核查，不凭合成草案认定完成。</w:t>
      </w:r>
    </w:p>
    <w:p>
      <w:pPr>
        <w:keepLines/>
      </w:pPr>
      <w:r>
        <w:rPr>
          <w:b/>
        </w:rPr>
        <w:t xml:space="preserve">第三条 归属与考核  </w:t>
      </w:r>
      <w:r>
        <w:t>公司收入目标2400/2800/3200万元；个人考核系数100%/80%/0%。归属条件应同时满足公司和个人标准，详细标准见本源考核办法。</w:t>
      </w:r>
    </w:p>
    <w:p>
      <w:pPr>
        <w:keepLines/>
      </w:pPr>
      <w:r>
        <w:rPr>
          <w:b/>
        </w:rPr>
        <w:t xml:space="preserve">第四条 特殊情形  </w:t>
      </w:r>
      <w:r>
        <w:t>离职、死亡、资格变化、公司控制权变化及计划终止分别处理；未提前填入对象未来选择或监管结论。</w:t>
      </w:r>
    </w:p>
    <w:p>
      <w:pPr>
        <w:keepLines/>
      </w:pPr>
      <w:r>
        <w:rPr>
          <w:b/>
        </w:rPr>
        <w:t xml:space="preserve">第五条 披露与签署  </w:t>
      </w:r>
      <w:r>
        <w:t>披露、交易和税务要求由运行任务按实际规则核实。原文条号、已通过决议及正式签章未恢复；签名日期留空。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附件1-1：西安瑞联新材料股份有限公司2021年限制性股票激励计划（草案）20210925.docx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