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采购到料与供应商风险实验记录</w:t>
      </w:r>
    </w:p>
    <w:p>
      <w:r>
        <w:t>实验输入材料 原附件字节未恢复 不含历史AI答案</w:t>
      </w:r>
    </w:p>
    <w:p>
      <w:pPr>
        <w:pStyle w:val="Heading1"/>
      </w:pPr>
      <w:r>
        <w:t>数据说明</w:t>
      </w:r>
    </w:p>
    <w:p>
      <w:r>
        <w:t>原采购和质量记录未恢复。以下完整实验数据用于到料偏差、准时率、运输停滞和近3批质量趋势计算；全部日期、数量与供应商为实验值，不预写风险等级答案。</w:t>
      </w:r>
    </w:p>
    <w:p>
      <w:r>
        <w:t>统一观察时点为2026-09-01 09:00，偏差按观察日期和承诺到料日期计算；是否已发货、部分到料和运输状态分别记录。</w:t>
      </w:r>
    </w:p>
    <w:p>
      <w:pPr>
        <w:pStyle w:val="Heading1"/>
      </w:pPr>
      <w:r>
        <w:t>采购到料记录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/>
        </w:trPr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PO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供应商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承诺到料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数量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已到数量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发货/运输状态</w:t>
            </w:r>
          </w:p>
        </w:tc>
      </w:tr>
      <w:tr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P01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实验A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2026-08-25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未发货</w:t>
            </w:r>
          </w:p>
        </w:tc>
      </w:tr>
      <w:tr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P02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实验A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60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剩余在途；最近扫描2026-08-28</w:t>
            </w:r>
          </w:p>
        </w:tc>
      </w:tr>
      <w:tr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P03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实验B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2026-09-03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80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已发货；最近扫描2026-08-31</w:t>
            </w:r>
          </w:p>
        </w:tc>
      </w:tr>
      <w:tr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P04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实验B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2026-08-30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50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50</w:t>
            </w:r>
          </w:p>
        </w:tc>
        <w:tc>
          <w:tcPr>
            <w:tcW w:type="dxa" w:w="1632"/>
          </w:tcPr>
          <w:p>
            <w:pPr>
              <w:spacing w:after="60"/>
            </w:pPr>
            <w:r>
              <w:rPr>
                <w:sz w:val="19"/>
              </w:rPr>
              <w:t>2026-08-29到齐</w:t>
            </w:r>
          </w:p>
        </w:tc>
      </w:tr>
    </w:tbl>
    <w:p>
      <w:pPr>
        <w:pStyle w:val="Heading1"/>
      </w:pPr>
      <w:r>
        <w:t>近3批质量记录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供应商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批次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到料日期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检验数量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不良数量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实验A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A1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2026-07-01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实验A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A2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2026-08-01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实验A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A3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2026-08-28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60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实验B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B1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2026-07-05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80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实验B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B2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2026-08-05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80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实验B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B3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2026-08-29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50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0</w:t>
            </w:r>
          </w:p>
        </w:tc>
      </w:tr>
    </w:tbl>
    <w:p>
      <w:pPr>
        <w:pStyle w:val="Heading1"/>
      </w:pPr>
      <w:r>
        <w:t>分析边界</w:t>
      </w:r>
    </w:p>
    <w:p>
      <w:r>
        <w:t>运输停滞判定阈值及综合等级规则由当前任务明确，原公司的实际等级政策未知。延期状态、平均/最大偏差和质量趋势的结果留待本轮计算。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