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热电池智能设计与验证平台技术文件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项目与输入</w:t>
      </w:r>
    </w:p>
    <w:p>
      <w:r>
        <w:t>本草案约定热电池智能设计与验证平台的设计工作。甲方提供材料配方、装配参数、历史试验数据及测试设备接口；乙方进行数据整理、模型配置与软件实现。实验数据字段为批次号、正负极配方、温度、负载、电压和测试时间，样例与阈值不代表原实验结果。</w:t>
      </w:r>
    </w:p>
    <w:p>
      <w:pPr>
        <w:pStyle w:val="Heading1"/>
      </w:pPr>
      <w:r>
        <w:t>设计流程</w:t>
      </w:r>
    </w:p>
    <w:p>
      <w:r>
        <w:t>平台按数据导入、材料参数校验、候选方案生成、计算验证、人工确认、试验反馈归档六步运行。仿真与真实试验记录分别标识；设计建议由甲方专业人员复核后用于试验。</w:t>
      </w:r>
    </w:p>
    <w:p>
      <w:pPr>
        <w:pStyle w:val="Heading1"/>
      </w:pPr>
      <w:r>
        <w:t>系统功能</w:t>
      </w:r>
    </w:p>
    <w:p>
      <w:r>
        <w:t>提供配方记录、放电曲线比对、设计版本管理、试验批次查询和验证报告导出。软件采用实验配置底座，模型与计算插件独立配置，接口以CSV及JSON交换数据。</w:t>
      </w:r>
    </w:p>
    <w:p>
      <w:pPr>
        <w:pStyle w:val="Heading1"/>
      </w:pPr>
      <w:r>
        <w:t>验证安排</w:t>
      </w:r>
    </w:p>
    <w:p>
      <w:r>
        <w:t>甲方选取历史样本供乙方演示，并安排现场试验。草案目前仅约定系统演示与验证报告交付，数据缺失、设备偏差与业务准确度责任边界尚未具体化，供本次审阅补充。</w:t>
      </w:r>
    </w:p>
    <w:p>
      <w:pPr>
        <w:pStyle w:val="Heading1"/>
      </w:pPr>
      <w:r>
        <w:t>交付文件</w:t>
      </w:r>
    </w:p>
    <w:p>
      <w:r>
        <w:t>交付安装包、用户操作说明、接口字段说明和试运行记录。数据与既有模型归原权利人；配置和新增组件的使用范围由双方另议。</w:t>
      </w:r>
    </w:p>
    <w:p>
      <w:pPr>
        <w:pStyle w:val="Heading1"/>
      </w:pPr>
      <w:r>
        <w:t>变更与商务衔接</w:t>
      </w:r>
    </w:p>
    <w:p>
      <w:r>
        <w:t>技术方案调整需保留版本和沟通记录。此技术文件不约定合同费用，商务合同另行签署。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