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戴维新材AC项目估值分析20260901v5(1).docx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编制与目的  </w:t>
      </w:r>
      <w:r>
        <w:t>编制主体为融资公司戴维新材；不是独立评估机构认证报告。AC项目估值分析用于融资讨论，原编制人员资质、真实财务报表及市场来源未恢复。</w:t>
      </w:r>
    </w:p>
    <w:p>
      <w:pPr>
        <w:keepLines/>
      </w:pPr>
      <w:r>
        <w:rPr>
          <w:b/>
        </w:rPr>
        <w:t xml:space="preserve">基准与实验财务  </w:t>
      </w:r>
      <w:r>
        <w:t>估值基准日2026年6月30日。实验资产2500万元、负债800万元、净资产1700万元；2025年收入2000万元、税前利润300万元，2026上半年收入1200万元、税前利润180万元。跨会话不复用原真实财务事实。</w:t>
      </w:r>
    </w:p>
    <w:p>
      <w:pPr>
        <w:keepLines/>
      </w:pPr>
      <w:r>
        <w:rPr>
          <w:b/>
        </w:rPr>
        <w:t xml:space="preserve">估值方法与输入  </w:t>
      </w:r>
      <w:r>
        <w:t>实验收益法采用五年预测自由现金流200、240、280、320、360万元，折现率12%，永续增长率3%；终值以360×1.03/(0.12−0.03)万元计算，现金流于年末发生。未将用户后续免责声明直接填入初稿。</w:t>
      </w:r>
    </w:p>
    <w:p>
      <w:pPr>
        <w:keepLines/>
      </w:pPr>
      <w:r>
        <w:rPr>
          <w:b/>
        </w:rPr>
        <w:t xml:space="preserve">数据与假设  </w:t>
      </w:r>
      <w:r>
        <w:t>金额均为实验数据。可比公司列表、报告来源、预测依据及折现率依据尚缺，供任务识别数据合法性、假设披露及第三方依赖边界。不得将合成估值视作原公司融资价格。</w:t>
      </w:r>
    </w:p>
    <w:p>
      <w:pPr>
        <w:keepLines/>
      </w:pPr>
      <w:r>
        <w:rPr>
          <w:b/>
        </w:rPr>
        <w:t xml:space="preserve">使用范围  </w:t>
      </w:r>
      <w:r>
        <w:t>供管理层融资讨论。初稿包含“任何主体均可直接依赖本报告用于交易”的宽泛使用表述，供运行中的agent审核和起草新的免责声明；不是已经修正的免责结论。</w:t>
      </w:r>
    </w:p>
    <w:p>
      <w:pPr>
        <w:keepLines/>
      </w:pPr>
      <w:r>
        <w:rPr>
          <w:b/>
        </w:rPr>
        <w:t xml:space="preserve">签署  </w:t>
      </w:r>
      <w:r>
        <w:t>原人员、资格和公开检索真实性均未恢复；签章与签发日期留空。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戴维新材AC项目估值分析20260901v5(1).docx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