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实验候选人许静 个人简历</w:t>
      </w:r>
    </w:p>
    <w:p>
      <w:r>
        <w:t>求职方向 有源III类医疗器械临床经理    意向地点 上海    到岗周期 两周</w:t>
      </w:r>
    </w:p>
    <w:p>
      <w:pPr>
        <w:pStyle w:val="Heading1"/>
      </w:pPr>
      <w:r>
        <w:t>教育背景</w:t>
      </w:r>
    </w:p>
    <w:p>
      <w:r>
        <w:t>2012年9月至2016年6月 上海理工大学 生物医学工程 本科。2024年完成GCP与医疗器械临床法规培训。</w:t>
      </w:r>
    </w:p>
    <w:p>
      <w:pPr>
        <w:pStyle w:val="Heading1"/>
      </w:pPr>
      <w:r>
        <w:t>工作经历</w:t>
      </w:r>
    </w:p>
    <w:p>
      <w:r>
        <w:t>2017年5月至2026年4月 实验医疗器械公司 临床项目主管。负责2项有源III类光电治疗设备多中心试验，协调CRO、中心伦理、受试者入组、监查与项目预算。</w:t>
      </w:r>
    </w:p>
    <w:p>
      <w:pPr>
        <w:pStyle w:val="Heading1"/>
      </w:pPr>
      <w:r>
        <w:t>项目职责</w:t>
      </w:r>
    </w:p>
    <w:p>
      <w:r>
        <w:t>激光治疗设备临床验证：参与方案、研究者手册、SIV、监查报告审核；完成数据清理、锁库与总结资料。射频治疗设备项目：牵头12家中心启动与进度管理，处理知情同意版本、器械流转记录和偏差整改。</w:t>
      </w:r>
    </w:p>
    <w:p>
      <w:pPr>
        <w:pStyle w:val="Heading1"/>
      </w:pPr>
      <w:r>
        <w:t>技能与经验边界</w:t>
      </w:r>
    </w:p>
    <w:p>
      <w:r>
        <w:t>熟悉NMPA注册资料结构、GCP、CRO预算与质控；英语可阅读临床方案。具有国内多中心经验，尚未担任国际多中心研究总负责人。</w:t>
      </w:r>
    </w:p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