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全国商业质量监测服务平台项目实验简介</w:t>
      </w:r>
    </w:p>
    <w:p>
      <w:r>
        <w:t>实验输入材料 原附件字节未恢复 不含历史AI答案</w:t>
      </w:r>
    </w:p>
    <w:p>
      <w:pPr>
        <w:pStyle w:val="Heading1"/>
      </w:pPr>
      <w:r>
        <w:t>项目材料</w:t>
      </w:r>
    </w:p>
    <w:p>
      <w:r>
        <w:t>原简介全文未恢复。用户明确讨论杭州超诚管理咨询有限公司与商业科技质量中心联合共建质量强国系列项目；本简介为合作讨论提供实验平台结构，不认证该中心法定职能。</w:t>
      </w:r>
    </w:p>
    <w:p>
      <w:pPr>
        <w:pStyle w:val="Heading1"/>
      </w:pPr>
      <w:r>
        <w:t>平台模块实验设想</w:t>
      </w:r>
    </w:p>
    <w:tbl>
      <w:tblPr>
        <w:tblStyle w:val="TableGrid"/>
        <w:tblW w:type="auto" w:w="0"/>
        <w:tblLook w:firstColumn="1" w:firstRow="1" w:lastColumn="0" w:lastRow="0" w:noHBand="0" w:noVBand="1" w:val="04A0"/>
      </w:tblPr>
      <w:tblGrid>
        <w:gridCol w:w="3264"/>
        <w:gridCol w:w="3264"/>
        <w:gridCol w:w="3264"/>
      </w:tblGrid>
      <w:tr>
        <w:trPr>
          <w:tblHeader/>
        </w:trPr>
        <w:tc>
          <w:tcPr>
            <w:tcW w:type="dxa" w:w="3264"/>
          </w:tcPr>
          <w:p>
            <w:pPr>
              <w:spacing w:after="60"/>
            </w:pPr>
            <w:r>
              <w:rPr>
                <w:sz w:val="19"/>
              </w:rPr>
              <w:t>模块</w:t>
            </w:r>
          </w:p>
        </w:tc>
        <w:tc>
          <w:tcPr>
            <w:tcW w:type="dxa" w:w="3264"/>
          </w:tcPr>
          <w:p>
            <w:pPr>
              <w:spacing w:after="60"/>
            </w:pPr>
            <w:r>
              <w:rPr>
                <w:sz w:val="19"/>
              </w:rPr>
              <w:t>原始工作对象</w:t>
            </w:r>
          </w:p>
        </w:tc>
        <w:tc>
          <w:tcPr>
            <w:tcW w:type="dxa" w:w="3264"/>
          </w:tcPr>
          <w:p>
            <w:pPr>
              <w:spacing w:after="60"/>
            </w:pPr>
            <w:r>
              <w:rPr>
                <w:sz w:val="19"/>
              </w:rPr>
              <w:t>拟记录证据</w:t>
            </w:r>
          </w:p>
        </w:tc>
      </w:tr>
      <w:tr>
        <w:tc>
          <w:tcPr>
            <w:tcW w:type="dxa" w:w="3264"/>
          </w:tcPr>
          <w:p>
            <w:pPr>
              <w:spacing w:after="60"/>
            </w:pPr>
            <w:r>
              <w:rPr>
                <w:sz w:val="19"/>
              </w:rPr>
              <w:t>质量信息</w:t>
            </w:r>
          </w:p>
        </w:tc>
        <w:tc>
          <w:tcPr>
            <w:tcW w:type="dxa" w:w="3264"/>
          </w:tcPr>
          <w:p>
            <w:pPr>
              <w:spacing w:after="60"/>
            </w:pPr>
            <w:r>
              <w:rPr>
                <w:sz w:val="19"/>
              </w:rPr>
              <w:t>企业提交的产品与服务资料</w:t>
            </w:r>
          </w:p>
        </w:tc>
        <w:tc>
          <w:tcPr>
            <w:tcW w:type="dxa" w:w="3264"/>
          </w:tcPr>
          <w:p>
            <w:pPr>
              <w:spacing w:after="60"/>
            </w:pPr>
            <w:r>
              <w:rPr>
                <w:sz w:val="19"/>
              </w:rPr>
              <w:t>主体、产品、资料版本</w:t>
            </w:r>
          </w:p>
        </w:tc>
      </w:tr>
      <w:tr>
        <w:tc>
          <w:tcPr>
            <w:tcW w:type="dxa" w:w="3264"/>
          </w:tcPr>
          <w:p>
            <w:pPr>
              <w:spacing w:after="60"/>
            </w:pPr>
            <w:r>
              <w:rPr>
                <w:sz w:val="19"/>
              </w:rPr>
              <w:t>公信力服务</w:t>
            </w:r>
          </w:p>
        </w:tc>
        <w:tc>
          <w:tcPr>
            <w:tcW w:type="dxa" w:w="3264"/>
          </w:tcPr>
          <w:p>
            <w:pPr>
              <w:spacing w:after="60"/>
            </w:pPr>
            <w:r>
              <w:rPr>
                <w:sz w:val="19"/>
              </w:rPr>
              <w:t>公开信息与企业授权资料</w:t>
            </w:r>
          </w:p>
        </w:tc>
        <w:tc>
          <w:tcPr>
            <w:tcW w:type="dxa" w:w="3264"/>
          </w:tcPr>
          <w:p>
            <w:pPr>
              <w:spacing w:after="60"/>
            </w:pPr>
            <w:r>
              <w:rPr>
                <w:sz w:val="19"/>
              </w:rPr>
              <w:t>来源、授权和更新记录</w:t>
            </w:r>
          </w:p>
        </w:tc>
      </w:tr>
      <w:tr>
        <w:tc>
          <w:tcPr>
            <w:tcW w:type="dxa" w:w="3264"/>
          </w:tcPr>
          <w:p>
            <w:pPr>
              <w:spacing w:after="60"/>
            </w:pPr>
            <w:r>
              <w:rPr>
                <w:sz w:val="19"/>
              </w:rPr>
              <w:t>品牌建设</w:t>
            </w:r>
          </w:p>
        </w:tc>
        <w:tc>
          <w:tcPr>
            <w:tcW w:type="dxa" w:w="3264"/>
          </w:tcPr>
          <w:p>
            <w:pPr>
              <w:spacing w:after="60"/>
            </w:pPr>
            <w:r>
              <w:rPr>
                <w:sz w:val="19"/>
              </w:rPr>
              <w:t>品牌传播与质量证据的对应</w:t>
            </w:r>
          </w:p>
        </w:tc>
        <w:tc>
          <w:tcPr>
            <w:tcW w:type="dxa" w:w="3264"/>
          </w:tcPr>
          <w:p>
            <w:pPr>
              <w:spacing w:after="60"/>
            </w:pPr>
            <w:r>
              <w:rPr>
                <w:sz w:val="19"/>
              </w:rPr>
              <w:t>案例、许可与验证范围</w:t>
            </w:r>
          </w:p>
        </w:tc>
      </w:tr>
      <w:tr>
        <w:tc>
          <w:tcPr>
            <w:tcW w:type="dxa" w:w="3264"/>
          </w:tcPr>
          <w:p>
            <w:pPr>
              <w:spacing w:after="60"/>
            </w:pPr>
            <w:r>
              <w:rPr>
                <w:sz w:val="19"/>
              </w:rPr>
              <w:t>成果转化</w:t>
            </w:r>
          </w:p>
        </w:tc>
        <w:tc>
          <w:tcPr>
            <w:tcW w:type="dxa" w:w="3264"/>
          </w:tcPr>
          <w:p>
            <w:pPr>
              <w:spacing w:after="60"/>
            </w:pPr>
            <w:r>
              <w:rPr>
                <w:sz w:val="19"/>
              </w:rPr>
              <w:t>技术成果和企业应用需求</w:t>
            </w:r>
          </w:p>
        </w:tc>
        <w:tc>
          <w:tcPr>
            <w:tcW w:type="dxa" w:w="3264"/>
          </w:tcPr>
          <w:p>
            <w:pPr>
              <w:spacing w:after="60"/>
            </w:pPr>
            <w:r>
              <w:rPr>
                <w:sz w:val="19"/>
              </w:rPr>
              <w:t>权属、验证、合同与实施记录</w:t>
            </w:r>
          </w:p>
        </w:tc>
      </w:tr>
    </w:tbl>
    <w:p>
      <w:pPr>
        <w:pStyle w:val="Heading1"/>
      </w:pPr>
      <w:r>
        <w:t>待讨论材料</w:t>
      </w:r>
    </w:p>
    <w:p>
      <w:r>
        <w:t>用户希望考虑EvoMind企业版、未来品牌官青少年活动及TTFA的切入。当前初稿仅登记这些讨论对象，不把它们写成已获中心许可或已签项目。</w:t>
      </w:r>
    </w:p>
    <w:p>
      <w:r>
        <w:t>真实中心隶属、职能、许可、资质、数据权利及合作费用未知，需真实官方材料核对。</w:t>
      </w:r>
    </w:p>
    <w:p>
      <w:r>
        <w:t>本件未生成最终合作方案，也未替用户认定第三方机构身份或背书。</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