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中科国生公司简介实验初稿</w:t>
      </w:r>
    </w:p>
    <w:p>
      <w:r>
        <w:t>实验输入材料 原附件字节未恢复 不含历史AI答案</w:t>
      </w:r>
    </w:p>
    <w:p>
      <w:pPr>
        <w:pStyle w:val="Heading1"/>
      </w:pPr>
      <w:r>
        <w:t>公司资料范围</w:t>
      </w:r>
    </w:p>
    <w:p>
      <w:r>
        <w:t>原名称来自当前附件，公司实际行业、团队、产品和财务未知。本件以科技成果转化服务作为实验企业情境，不认证中科国生真实业务。</w:t>
      </w:r>
    </w:p>
    <w:p>
      <w:pPr>
        <w:pStyle w:val="Heading1"/>
      </w:pPr>
      <w:r>
        <w:t>实验企业结构</w:t>
      </w:r>
    </w:p>
    <w:p>
      <w:r>
        <w:t>实验业务包含成果材料登记、技术验证需求、应用方对接、项目孵化和投资服务之间的协调。技术与投资安排依具体项目权属和合作记录确定。</w:t>
      </w:r>
    </w:p>
    <w:p>
      <w:r>
        <w:t>初始简介记录公司主体、业务对象、产品/服务、客户证据、团队分工和项目进度；当前没有真实财务和融资值。</w:t>
      </w:r>
    </w:p>
    <w:p>
      <w:pPr>
        <w:pStyle w:val="Heading1"/>
      </w:pPr>
      <w:r>
        <w:t>公司简介字段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法定主体与成立时间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实际业务与产品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未恢复；本件仅实验情境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核心团队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客户与合作案例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收入与融资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公开来源与资质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